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425E2" w14:textId="27E80A4F" w:rsidR="00F45FDA" w:rsidRPr="004E54B4" w:rsidRDefault="0007412C" w:rsidP="007C75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4B4">
        <w:rPr>
          <w:rFonts w:ascii="Times New Roman" w:hAnsi="Times New Roman" w:cs="Times New Roman"/>
          <w:b/>
          <w:bCs/>
          <w:sz w:val="24"/>
          <w:szCs w:val="24"/>
        </w:rPr>
        <w:t>COMUNICATO STAMPA</w:t>
      </w:r>
    </w:p>
    <w:p w14:paraId="15245CF3" w14:textId="2F0E9D89" w:rsidR="0007412C" w:rsidRPr="0007412C" w:rsidRDefault="0007412C" w:rsidP="004E54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22550C" w14:textId="5D1AA264" w:rsidR="00B751E7" w:rsidRPr="002325C6" w:rsidRDefault="00B751E7" w:rsidP="00B751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2325C6">
        <w:rPr>
          <w:rFonts w:ascii="Times New Roman" w:hAnsi="Times New Roman" w:cs="Times New Roman"/>
          <w:b/>
          <w:bCs/>
          <w:sz w:val="23"/>
          <w:szCs w:val="23"/>
        </w:rPr>
        <w:t xml:space="preserve">Al Congresso della </w:t>
      </w:r>
      <w:r w:rsidR="00373FE8" w:rsidRPr="002325C6">
        <w:rPr>
          <w:rFonts w:ascii="Times New Roman" w:hAnsi="Times New Roman" w:cs="Times New Roman"/>
          <w:b/>
          <w:bCs/>
          <w:sz w:val="23"/>
          <w:szCs w:val="23"/>
        </w:rPr>
        <w:t>Società Europea di Oncologia Medica</w:t>
      </w:r>
      <w:r w:rsidRPr="002325C6">
        <w:rPr>
          <w:rFonts w:ascii="Times New Roman" w:hAnsi="Times New Roman" w:cs="Times New Roman"/>
          <w:b/>
          <w:bCs/>
          <w:sz w:val="23"/>
          <w:szCs w:val="23"/>
        </w:rPr>
        <w:t xml:space="preserve"> presentati studi di efficacia a lungo termine</w:t>
      </w:r>
    </w:p>
    <w:p w14:paraId="4885E856" w14:textId="26749D97" w:rsidR="00934279" w:rsidRPr="00970560" w:rsidRDefault="00970560" w:rsidP="00B751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0560">
        <w:rPr>
          <w:rFonts w:ascii="Times New Roman" w:hAnsi="Times New Roman" w:cs="Times New Roman"/>
          <w:b/>
          <w:bCs/>
          <w:sz w:val="24"/>
          <w:szCs w:val="24"/>
        </w:rPr>
        <w:t>TUMORI: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LA COMBINAZIONE </w:t>
      </w:r>
      <w:r w:rsidR="00B751E7">
        <w:rPr>
          <w:rFonts w:ascii="Times New Roman" w:hAnsi="Times New Roman" w:cs="Times New Roman"/>
          <w:b/>
          <w:bCs/>
          <w:sz w:val="24"/>
          <w:szCs w:val="24"/>
        </w:rPr>
        <w:t>DI IMMUNOTERAPIE MIGLIORA LA SOPRAVVIVENZA</w:t>
      </w:r>
    </w:p>
    <w:p w14:paraId="722E3614" w14:textId="73CE67CC" w:rsidR="004E54B4" w:rsidRPr="00970560" w:rsidRDefault="00970560" w:rsidP="009705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0560">
        <w:rPr>
          <w:rFonts w:ascii="Times New Roman" w:hAnsi="Times New Roman" w:cs="Times New Roman"/>
          <w:b/>
          <w:bCs/>
          <w:sz w:val="24"/>
          <w:szCs w:val="24"/>
        </w:rPr>
        <w:t xml:space="preserve">NEL RENE </w:t>
      </w:r>
      <w:r>
        <w:rPr>
          <w:rFonts w:ascii="Times New Roman" w:hAnsi="Times New Roman" w:cs="Times New Roman"/>
          <w:b/>
          <w:bCs/>
          <w:sz w:val="24"/>
          <w:szCs w:val="24"/>
        </w:rPr>
        <w:t>IL 48%</w:t>
      </w:r>
      <w:r w:rsidRPr="00970560">
        <w:rPr>
          <w:rFonts w:ascii="Times New Roman" w:hAnsi="Times New Roman" w:cs="Times New Roman"/>
          <w:b/>
          <w:bCs/>
          <w:sz w:val="24"/>
          <w:szCs w:val="24"/>
        </w:rPr>
        <w:t xml:space="preserve"> DEI PAZIENTI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VIV</w:t>
      </w:r>
      <w:r w:rsidR="006866B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70560">
        <w:rPr>
          <w:rFonts w:ascii="Times New Roman" w:hAnsi="Times New Roman" w:cs="Times New Roman"/>
          <w:b/>
          <w:bCs/>
          <w:sz w:val="24"/>
          <w:szCs w:val="24"/>
        </w:rPr>
        <w:t xml:space="preserve"> A 5 ANNI</w:t>
      </w:r>
      <w:r>
        <w:rPr>
          <w:rFonts w:ascii="Times New Roman" w:hAnsi="Times New Roman" w:cs="Times New Roman"/>
          <w:b/>
          <w:bCs/>
          <w:sz w:val="24"/>
          <w:szCs w:val="24"/>
        </w:rPr>
        <w:t>, NEL MESOTELIOMA IL 23% A 36 MESI</w:t>
      </w:r>
    </w:p>
    <w:p w14:paraId="5C8BF5DD" w14:textId="3A7E370A" w:rsidR="004E54B4" w:rsidRPr="00BE7B8D" w:rsidRDefault="00B751E7" w:rsidP="006866B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1"/>
          <w:szCs w:val="21"/>
        </w:rPr>
      </w:pPr>
      <w:r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Carmine Pinto, Direttore Oncologia Medica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</w:t>
      </w:r>
      <w:r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Reggio Emilia</w:t>
      </w:r>
      <w:r w:rsidR="00373FE8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: “Con nivolumab più ipilimumab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in prima linea</w:t>
      </w:r>
      <w:r w:rsidR="00F5523D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nel</w:t>
      </w:r>
      <w:r w:rsidR="00BE361C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</w:t>
      </w:r>
      <w:r w:rsidR="00373FE8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carcinoma a cellule renali risultat</w:t>
      </w:r>
      <w:r w:rsidR="003D2B72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i importanti in sopravvivenza</w:t>
      </w:r>
      <w:r w:rsidR="00373FE8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. E nella neoplasia toracica 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ridotto del 27% il rischio di morte”. </w:t>
      </w:r>
      <w:r w:rsidR="00ED3020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La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terapia adiuvante con nivolumab nel </w:t>
      </w:r>
      <w:r w:rsidR="00914FFD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cancro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dell’esofago diminuisce </w:t>
      </w:r>
      <w:r w:rsidR="00304494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del 33% </w:t>
      </w:r>
      <w:r w:rsidR="00BE7B8D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>la probabilità</w:t>
      </w:r>
      <w:r w:rsidR="006866B7" w:rsidRPr="00BE7B8D">
        <w:rPr>
          <w:rFonts w:ascii="Times New Roman" w:hAnsi="Times New Roman" w:cs="Times New Roman"/>
          <w:b/>
          <w:bCs/>
          <w:i/>
          <w:iCs/>
          <w:sz w:val="21"/>
          <w:szCs w:val="21"/>
        </w:rPr>
        <w:t xml:space="preserve"> di recidiva</w:t>
      </w:r>
    </w:p>
    <w:p w14:paraId="0778C888" w14:textId="77777777" w:rsidR="007C75E6" w:rsidRPr="0007412C" w:rsidRDefault="007C75E6" w:rsidP="004E54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78005" w14:textId="77777777" w:rsidR="00BE361C" w:rsidRDefault="005869AC" w:rsidP="00B22F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Roma</w:t>
      </w:r>
      <w:r w:rsidR="0007412C" w:rsidRPr="004E54B4">
        <w:rPr>
          <w:rFonts w:ascii="Times New Roman" w:hAnsi="Times New Roman" w:cs="Times New Roman"/>
          <w:i/>
          <w:iCs/>
          <w:sz w:val="24"/>
          <w:szCs w:val="24"/>
        </w:rPr>
        <w:t>, 17 settembre 2021</w:t>
      </w:r>
      <w:r w:rsidR="0007412C" w:rsidRPr="0007412C">
        <w:rPr>
          <w:rFonts w:ascii="Times New Roman" w:hAnsi="Times New Roman" w:cs="Times New Roman"/>
          <w:sz w:val="24"/>
          <w:szCs w:val="24"/>
        </w:rPr>
        <w:t xml:space="preserve"> </w:t>
      </w:r>
      <w:r w:rsidR="0007412C">
        <w:rPr>
          <w:rFonts w:ascii="Times New Roman" w:hAnsi="Times New Roman" w:cs="Times New Roman"/>
          <w:sz w:val="24"/>
          <w:szCs w:val="24"/>
        </w:rPr>
        <w:t>–</w:t>
      </w:r>
      <w:r w:rsidR="004E54B4">
        <w:rPr>
          <w:rFonts w:ascii="Times New Roman" w:hAnsi="Times New Roman" w:cs="Times New Roman"/>
          <w:sz w:val="24"/>
          <w:szCs w:val="24"/>
        </w:rPr>
        <w:t xml:space="preserve"> </w:t>
      </w:r>
      <w:r w:rsidR="00F9537F">
        <w:rPr>
          <w:rFonts w:ascii="Times New Roman" w:hAnsi="Times New Roman" w:cs="Times New Roman"/>
          <w:sz w:val="24"/>
          <w:szCs w:val="24"/>
        </w:rPr>
        <w:t>Il 48% dei pazienti con tumore del rene trattati</w:t>
      </w:r>
      <w:r w:rsidR="001427DB">
        <w:rPr>
          <w:rFonts w:ascii="Times New Roman" w:hAnsi="Times New Roman" w:cs="Times New Roman"/>
          <w:sz w:val="24"/>
          <w:szCs w:val="24"/>
        </w:rPr>
        <w:t xml:space="preserve"> in prima linea</w:t>
      </w:r>
      <w:r w:rsidR="00F9537F">
        <w:rPr>
          <w:rFonts w:ascii="Times New Roman" w:hAnsi="Times New Roman" w:cs="Times New Roman"/>
          <w:sz w:val="24"/>
          <w:szCs w:val="24"/>
        </w:rPr>
        <w:t xml:space="preserve"> con la combinazione di molecole immuno-oncologiche, nivolumab e ipilimumab, è vivo a 5 anni. U</w:t>
      </w:r>
      <w:r w:rsidR="003D2B72">
        <w:rPr>
          <w:rFonts w:ascii="Times New Roman" w:hAnsi="Times New Roman" w:cs="Times New Roman"/>
          <w:sz w:val="24"/>
          <w:szCs w:val="24"/>
        </w:rPr>
        <w:t>n risultato importante per questi pazienti</w:t>
      </w:r>
      <w:r w:rsidR="00F9537F">
        <w:rPr>
          <w:rFonts w:ascii="Times New Roman" w:hAnsi="Times New Roman" w:cs="Times New Roman"/>
          <w:sz w:val="24"/>
          <w:szCs w:val="24"/>
        </w:rPr>
        <w:t xml:space="preserve">. E nel mesotelioma il 23% è vivo a </w:t>
      </w:r>
      <w:r w:rsidR="00934279">
        <w:rPr>
          <w:rFonts w:ascii="Times New Roman" w:hAnsi="Times New Roman" w:cs="Times New Roman"/>
          <w:sz w:val="24"/>
          <w:szCs w:val="24"/>
        </w:rPr>
        <w:t>3</w:t>
      </w:r>
      <w:r w:rsidR="00F9537F">
        <w:rPr>
          <w:rFonts w:ascii="Times New Roman" w:hAnsi="Times New Roman" w:cs="Times New Roman"/>
          <w:sz w:val="24"/>
          <w:szCs w:val="24"/>
        </w:rPr>
        <w:t xml:space="preserve"> anni</w:t>
      </w:r>
      <w:r w:rsidR="001427DB">
        <w:rPr>
          <w:rFonts w:ascii="Times New Roman" w:hAnsi="Times New Roman" w:cs="Times New Roman"/>
          <w:sz w:val="24"/>
          <w:szCs w:val="24"/>
        </w:rPr>
        <w:t>, sempre grazie a</w:t>
      </w:r>
      <w:r>
        <w:rPr>
          <w:rFonts w:ascii="Times New Roman" w:hAnsi="Times New Roman" w:cs="Times New Roman"/>
          <w:sz w:val="24"/>
          <w:szCs w:val="24"/>
        </w:rPr>
        <w:t xml:space="preserve"> questo approccio</w:t>
      </w:r>
      <w:r w:rsidR="001427DB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pazienti mai trattati prima</w:t>
      </w:r>
      <w:r w:rsidR="00F9537F">
        <w:rPr>
          <w:rFonts w:ascii="Times New Roman" w:hAnsi="Times New Roman" w:cs="Times New Roman"/>
          <w:sz w:val="24"/>
          <w:szCs w:val="24"/>
        </w:rPr>
        <w:t>. Anche in questo caso si tratta di un risultato</w:t>
      </w:r>
      <w:r w:rsidR="006C026C">
        <w:rPr>
          <w:rFonts w:ascii="Times New Roman" w:hAnsi="Times New Roman" w:cs="Times New Roman"/>
          <w:sz w:val="24"/>
          <w:szCs w:val="24"/>
        </w:rPr>
        <w:t xml:space="preserve"> unico</w:t>
      </w:r>
      <w:r w:rsidR="00F9537F">
        <w:rPr>
          <w:rFonts w:ascii="Times New Roman" w:hAnsi="Times New Roman" w:cs="Times New Roman"/>
          <w:sz w:val="24"/>
          <w:szCs w:val="24"/>
        </w:rPr>
        <w:t xml:space="preserve">. I </w:t>
      </w:r>
      <w:r w:rsidR="004E54B4">
        <w:rPr>
          <w:rFonts w:ascii="Times New Roman" w:hAnsi="Times New Roman" w:cs="Times New Roman"/>
          <w:sz w:val="24"/>
          <w:szCs w:val="24"/>
        </w:rPr>
        <w:t>dati</w:t>
      </w:r>
      <w:r w:rsidR="00F9537F">
        <w:rPr>
          <w:rFonts w:ascii="Times New Roman" w:hAnsi="Times New Roman" w:cs="Times New Roman"/>
          <w:sz w:val="24"/>
          <w:szCs w:val="24"/>
        </w:rPr>
        <w:t xml:space="preserve"> derivano dagli studi CheckMate -214 e CheckMate -743, presentati al Congresso </w:t>
      </w:r>
      <w:r w:rsidR="004E54B4">
        <w:rPr>
          <w:rFonts w:ascii="Times New Roman" w:hAnsi="Times New Roman" w:cs="Times New Roman"/>
          <w:sz w:val="24"/>
          <w:szCs w:val="24"/>
        </w:rPr>
        <w:t>della Società Europea di Oncologia Medica (ESMO), in corso fino al 21 settembre</w:t>
      </w:r>
      <w:r w:rsidR="009B6504">
        <w:rPr>
          <w:rFonts w:ascii="Times New Roman" w:hAnsi="Times New Roman" w:cs="Times New Roman"/>
          <w:sz w:val="24"/>
          <w:szCs w:val="24"/>
        </w:rPr>
        <w:t>, e sono</w:t>
      </w:r>
      <w:r w:rsidR="009B6504" w:rsidRPr="009B6504">
        <w:rPr>
          <w:rFonts w:ascii="Times New Roman" w:hAnsi="Times New Roman" w:cs="Times New Roman"/>
          <w:sz w:val="24"/>
          <w:szCs w:val="24"/>
        </w:rPr>
        <w:t xml:space="preserve"> </w:t>
      </w:r>
      <w:r w:rsidR="009B6504">
        <w:rPr>
          <w:rFonts w:ascii="Times New Roman" w:hAnsi="Times New Roman" w:cs="Times New Roman"/>
          <w:sz w:val="24"/>
          <w:szCs w:val="24"/>
        </w:rPr>
        <w:t xml:space="preserve">approfonditi oggi in un press briefing virtuale promosso da Bristol Myers Squibb. </w:t>
      </w:r>
      <w:r w:rsidR="004E54B4">
        <w:rPr>
          <w:rFonts w:ascii="Times New Roman" w:hAnsi="Times New Roman" w:cs="Times New Roman"/>
          <w:sz w:val="24"/>
          <w:szCs w:val="24"/>
        </w:rPr>
        <w:t>Al</w:t>
      </w:r>
      <w:r w:rsidR="00D74A6A">
        <w:rPr>
          <w:rFonts w:ascii="Times New Roman" w:hAnsi="Times New Roman" w:cs="Times New Roman"/>
          <w:sz w:val="24"/>
          <w:szCs w:val="24"/>
        </w:rPr>
        <w:t>l’ESMO</w:t>
      </w:r>
      <w:r w:rsidR="004E54B4">
        <w:rPr>
          <w:rFonts w:ascii="Times New Roman" w:hAnsi="Times New Roman" w:cs="Times New Roman"/>
          <w:sz w:val="24"/>
          <w:szCs w:val="24"/>
        </w:rPr>
        <w:t xml:space="preserve"> sono presentati anche i passi avanti nel trattamento adiuvante </w:t>
      </w:r>
      <w:r w:rsidR="00D74A6A">
        <w:rPr>
          <w:rFonts w:ascii="Times New Roman" w:hAnsi="Times New Roman" w:cs="Times New Roman"/>
          <w:sz w:val="24"/>
          <w:szCs w:val="24"/>
        </w:rPr>
        <w:t xml:space="preserve">del tumore dell’esofago </w:t>
      </w:r>
      <w:r w:rsidR="004E54B4">
        <w:rPr>
          <w:rFonts w:ascii="Times New Roman" w:hAnsi="Times New Roman" w:cs="Times New Roman"/>
          <w:sz w:val="24"/>
          <w:szCs w:val="24"/>
        </w:rPr>
        <w:t xml:space="preserve">con </w:t>
      </w:r>
      <w:r w:rsidR="006C026C">
        <w:rPr>
          <w:rFonts w:ascii="Times New Roman" w:hAnsi="Times New Roman" w:cs="Times New Roman"/>
          <w:sz w:val="24"/>
          <w:szCs w:val="24"/>
        </w:rPr>
        <w:t xml:space="preserve">nivolumab, cioè successivo al trattamento chemio-radioterapico pre-operatorio e alla </w:t>
      </w:r>
      <w:r w:rsidR="004E54B4">
        <w:rPr>
          <w:rFonts w:ascii="Times New Roman" w:hAnsi="Times New Roman" w:cs="Times New Roman"/>
          <w:sz w:val="24"/>
          <w:szCs w:val="24"/>
        </w:rPr>
        <w:t>chirurgia, con lo scopo di ridurre il rischio di recidiva.</w:t>
      </w:r>
      <w:r w:rsidR="009B65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3E1DFE" w14:textId="7240498F" w:rsidR="007C75E6" w:rsidRPr="009B6504" w:rsidRDefault="007C3B38" w:rsidP="00B22F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5E6">
        <w:rPr>
          <w:rFonts w:ascii="Times New Roman" w:hAnsi="Times New Roman" w:cs="Times New Roman"/>
          <w:sz w:val="24"/>
          <w:szCs w:val="24"/>
        </w:rPr>
        <w:t>Nel 2020, in Italia, sono stati stimati 13.500 nuovi casi di tumore del rene e più di 144mila persone vivono dopo la diagnosi. La forma più frequente è quella a cellule renali.</w:t>
      </w:r>
      <w:r w:rsidR="001427DB">
        <w:rPr>
          <w:rFonts w:ascii="Times New Roman" w:hAnsi="Times New Roman" w:cs="Times New Roman"/>
          <w:sz w:val="24"/>
          <w:szCs w:val="24"/>
        </w:rPr>
        <w:t xml:space="preserve"> </w:t>
      </w:r>
      <w:r w:rsidRPr="007C75E6">
        <w:rPr>
          <w:rFonts w:ascii="Times New Roman" w:hAnsi="Times New Roman" w:cs="Times New Roman"/>
          <w:sz w:val="24"/>
          <w:szCs w:val="24"/>
        </w:rPr>
        <w:t xml:space="preserve">“Oltre il 50% dei pazienti </w:t>
      </w:r>
      <w:r w:rsidR="007C75E6" w:rsidRPr="007C75E6">
        <w:rPr>
          <w:rFonts w:ascii="Times New Roman" w:hAnsi="Times New Roman" w:cs="Times New Roman"/>
          <w:sz w:val="24"/>
          <w:szCs w:val="24"/>
        </w:rPr>
        <w:t>con malattia</w:t>
      </w:r>
      <w:r w:rsidRPr="007C75E6">
        <w:rPr>
          <w:rFonts w:ascii="Times New Roman" w:hAnsi="Times New Roman" w:cs="Times New Roman"/>
          <w:sz w:val="24"/>
          <w:szCs w:val="24"/>
        </w:rPr>
        <w:t xml:space="preserve"> in fase precoce guarisce –</w:t>
      </w:r>
      <w:bookmarkStart w:id="0" w:name="_Hlk70580366"/>
      <w:r w:rsidRPr="007C75E6">
        <w:rPr>
          <w:rFonts w:ascii="Times New Roman" w:hAnsi="Times New Roman" w:cs="Times New Roman"/>
          <w:sz w:val="24"/>
          <w:szCs w:val="24"/>
        </w:rPr>
        <w:t xml:space="preserve"> afferma</w:t>
      </w:r>
      <w:r w:rsidRPr="007C75E6">
        <w:rPr>
          <w:rFonts w:ascii="Times New Roman" w:hAnsi="Times New Roman" w:cs="Times New Roman"/>
          <w:b/>
          <w:bCs/>
          <w:sz w:val="24"/>
          <w:szCs w:val="24"/>
        </w:rPr>
        <w:t xml:space="preserve"> Carmine Pinto</w:t>
      </w:r>
      <w:r w:rsidRPr="007C75E6">
        <w:rPr>
          <w:rFonts w:ascii="Times New Roman" w:hAnsi="Times New Roman" w:cs="Times New Roman"/>
          <w:sz w:val="24"/>
          <w:szCs w:val="24"/>
        </w:rPr>
        <w:t xml:space="preserve">, </w:t>
      </w:r>
      <w:bookmarkStart w:id="1" w:name="_Hlk82165445"/>
      <w:r w:rsidRPr="007C75E6">
        <w:rPr>
          <w:rFonts w:ascii="Times New Roman" w:hAnsi="Times New Roman" w:cs="Times New Roman"/>
          <w:sz w:val="24"/>
          <w:szCs w:val="24"/>
        </w:rPr>
        <w:t xml:space="preserve">Direttore Oncologia Medica Comprehensive Cancer Centre AUSL-IRCCS di Reggio Emilia </w:t>
      </w:r>
      <w:bookmarkEnd w:id="0"/>
      <w:bookmarkEnd w:id="1"/>
      <w:r w:rsidRPr="007C75E6">
        <w:rPr>
          <w:rFonts w:ascii="Times New Roman" w:hAnsi="Times New Roman" w:cs="Times New Roman"/>
          <w:sz w:val="24"/>
          <w:szCs w:val="24"/>
        </w:rPr>
        <w:t>-.</w:t>
      </w:r>
      <w:r w:rsidR="007C75E6">
        <w:rPr>
          <w:rFonts w:ascii="Times New Roman" w:hAnsi="Times New Roman" w:cs="Times New Roman"/>
          <w:sz w:val="24"/>
          <w:szCs w:val="24"/>
        </w:rPr>
        <w:t xml:space="preserve"> </w:t>
      </w:r>
      <w:r w:rsidR="007C75E6" w:rsidRPr="007C75E6">
        <w:rPr>
          <w:rFonts w:ascii="Times New Roman" w:hAnsi="Times New Roman" w:cs="Times New Roman"/>
          <w:sz w:val="24"/>
          <w:szCs w:val="24"/>
        </w:rPr>
        <w:t>Però</w:t>
      </w:r>
      <w:r w:rsidRPr="007C75E6">
        <w:rPr>
          <w:rFonts w:ascii="Times New Roman" w:hAnsi="Times New Roman" w:cs="Times New Roman"/>
          <w:sz w:val="24"/>
          <w:szCs w:val="24"/>
        </w:rPr>
        <w:t xml:space="preserve"> </w:t>
      </w:r>
      <w:r w:rsidR="007C75E6" w:rsidRPr="007C75E6">
        <w:rPr>
          <w:rFonts w:ascii="Times New Roman" w:hAnsi="Times New Roman" w:cs="Times New Roman"/>
          <w:sz w:val="24"/>
          <w:szCs w:val="24"/>
        </w:rPr>
        <w:t xml:space="preserve">il </w:t>
      </w:r>
      <w:r w:rsidRPr="007C75E6">
        <w:rPr>
          <w:rFonts w:ascii="Times New Roman" w:hAnsi="Times New Roman" w:cs="Times New Roman"/>
          <w:sz w:val="24"/>
          <w:szCs w:val="24"/>
        </w:rPr>
        <w:t>30% arriva alla diagnosi già in stadio avanzato e, in un terzo, la malattia può recidivare in forma metastatica dopo l’intervento chirurgico.</w:t>
      </w:r>
      <w:r w:rsidR="007C75E6" w:rsidRPr="007C75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C75E6">
        <w:rPr>
          <w:rFonts w:ascii="Times New Roman" w:hAnsi="Times New Roman" w:cs="Times New Roman"/>
          <w:bCs/>
          <w:sz w:val="24"/>
          <w:szCs w:val="24"/>
        </w:rPr>
        <w:t xml:space="preserve">Storicamente, la sopravvivenza a 5 anni </w:t>
      </w:r>
      <w:r w:rsidR="007C75E6" w:rsidRPr="007C75E6">
        <w:rPr>
          <w:rFonts w:ascii="Times New Roman" w:hAnsi="Times New Roman" w:cs="Times New Roman"/>
          <w:bCs/>
          <w:sz w:val="24"/>
          <w:szCs w:val="24"/>
        </w:rPr>
        <w:t xml:space="preserve">nella </w:t>
      </w:r>
      <w:r w:rsidRPr="007C75E6">
        <w:rPr>
          <w:rFonts w:ascii="Times New Roman" w:hAnsi="Times New Roman" w:cs="Times New Roman"/>
          <w:bCs/>
          <w:sz w:val="24"/>
          <w:szCs w:val="24"/>
        </w:rPr>
        <w:t>malattia avanzata o metastatica non superava</w:t>
      </w:r>
      <w:r w:rsidRPr="007C75E6">
        <w:rPr>
          <w:rFonts w:ascii="Times New Roman" w:hAnsi="Times New Roman" w:cs="Times New Roman"/>
          <w:sz w:val="24"/>
          <w:szCs w:val="24"/>
        </w:rPr>
        <w:t xml:space="preserve"> il 13%. Oggi invece, grazie alla combinazione d</w:t>
      </w:r>
      <w:r w:rsidR="007E30B7">
        <w:rPr>
          <w:rFonts w:ascii="Times New Roman" w:hAnsi="Times New Roman" w:cs="Times New Roman"/>
          <w:sz w:val="24"/>
          <w:szCs w:val="24"/>
        </w:rPr>
        <w:t>elle due</w:t>
      </w:r>
      <w:r w:rsidRPr="007C75E6">
        <w:rPr>
          <w:rFonts w:ascii="Times New Roman" w:hAnsi="Times New Roman" w:cs="Times New Roman"/>
          <w:sz w:val="24"/>
          <w:szCs w:val="24"/>
        </w:rPr>
        <w:t xml:space="preserve"> molecole immuno-oncologiche, quasi la metà è viv</w:t>
      </w:r>
      <w:r w:rsidR="00975540">
        <w:rPr>
          <w:rFonts w:ascii="Times New Roman" w:hAnsi="Times New Roman" w:cs="Times New Roman"/>
          <w:sz w:val="24"/>
          <w:szCs w:val="24"/>
        </w:rPr>
        <w:t>a</w:t>
      </w:r>
      <w:r w:rsidRPr="007C75E6">
        <w:rPr>
          <w:rFonts w:ascii="Times New Roman" w:hAnsi="Times New Roman" w:cs="Times New Roman"/>
          <w:sz w:val="24"/>
          <w:szCs w:val="24"/>
        </w:rPr>
        <w:t xml:space="preserve"> a 5 anni. Lo studio di </w:t>
      </w:r>
      <w:r w:rsidR="007C75E6" w:rsidRPr="007C75E6">
        <w:rPr>
          <w:rFonts w:ascii="Times New Roman" w:hAnsi="Times New Roman" w:cs="Times New Roman"/>
          <w:sz w:val="24"/>
          <w:szCs w:val="24"/>
        </w:rPr>
        <w:t>f</w:t>
      </w:r>
      <w:r w:rsidRPr="007C75E6">
        <w:rPr>
          <w:rFonts w:ascii="Times New Roman" w:hAnsi="Times New Roman" w:cs="Times New Roman"/>
          <w:sz w:val="24"/>
          <w:szCs w:val="24"/>
        </w:rPr>
        <w:t xml:space="preserve">ase 3 </w:t>
      </w:r>
      <w:r w:rsidRPr="007C75E6">
        <w:rPr>
          <w:rFonts w:ascii="Times New Roman" w:hAnsi="Times New Roman" w:cs="Times New Roman"/>
          <w:bCs/>
          <w:sz w:val="24"/>
          <w:szCs w:val="24"/>
        </w:rPr>
        <w:t xml:space="preserve">CheckMate -214 </w:t>
      </w:r>
      <w:r w:rsidRPr="007C75E6">
        <w:rPr>
          <w:rFonts w:ascii="Times New Roman" w:eastAsia="Times New Roman" w:hAnsi="Times New Roman" w:cs="Times New Roman"/>
          <w:sz w:val="24"/>
          <w:szCs w:val="24"/>
          <w:lang w:eastAsia="it-IT"/>
        </w:rPr>
        <w:t>ha coinvolto 1.096 persone</w:t>
      </w:r>
      <w:r w:rsidR="007C75E6" w:rsidRPr="007C75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C75E6" w:rsidRPr="0049304F">
        <w:rPr>
          <w:rFonts w:ascii="Times New Roman" w:eastAsia="Times New Roman" w:hAnsi="Times New Roman" w:cs="Times New Roman"/>
          <w:sz w:val="24"/>
          <w:szCs w:val="24"/>
          <w:lang w:eastAsia="it-IT"/>
        </w:rPr>
        <w:t>con tumore del rene a cellule renali</w:t>
      </w:r>
      <w:r w:rsidR="00B22F92" w:rsidRPr="004930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avanzato</w:t>
      </w:r>
      <w:r w:rsidRPr="004930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C75E6" w:rsidRPr="004930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r w:rsidRPr="0049304F">
        <w:rPr>
          <w:rFonts w:ascii="Times New Roman" w:hAnsi="Times New Roman" w:cs="Times New Roman"/>
          <w:bCs/>
          <w:sz w:val="24"/>
          <w:szCs w:val="24"/>
        </w:rPr>
        <w:t xml:space="preserve">ha valutato, in prima linea, nivolumab </w:t>
      </w:r>
      <w:r w:rsidR="007E30B7">
        <w:rPr>
          <w:rFonts w:ascii="Times New Roman" w:hAnsi="Times New Roman" w:cs="Times New Roman"/>
          <w:bCs/>
          <w:sz w:val="24"/>
          <w:szCs w:val="24"/>
        </w:rPr>
        <w:t>più</w:t>
      </w:r>
      <w:r w:rsidRPr="0049304F">
        <w:rPr>
          <w:rFonts w:ascii="Times New Roman" w:hAnsi="Times New Roman" w:cs="Times New Roman"/>
          <w:bCs/>
          <w:sz w:val="24"/>
          <w:szCs w:val="24"/>
        </w:rPr>
        <w:t xml:space="preserve"> ipilimumab</w:t>
      </w:r>
      <w:r w:rsidRPr="0049304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49304F">
        <w:rPr>
          <w:rFonts w:ascii="Times New Roman" w:hAnsi="Times New Roman" w:cs="Times New Roman"/>
          <w:bCs/>
          <w:sz w:val="24"/>
          <w:szCs w:val="24"/>
        </w:rPr>
        <w:t xml:space="preserve">rispetto allo standard di cura costituito da sunitinib. </w:t>
      </w:r>
      <w:r w:rsidR="00B22F92" w:rsidRPr="0049304F">
        <w:rPr>
          <w:rFonts w:ascii="Times New Roman" w:hAnsi="Times New Roman" w:cs="Times New Roman"/>
          <w:bCs/>
          <w:sz w:val="24"/>
          <w:szCs w:val="24"/>
        </w:rPr>
        <w:t xml:space="preserve">Il follow up è stato </w:t>
      </w:r>
      <w:r w:rsidR="00B22F92" w:rsidRPr="00152026">
        <w:rPr>
          <w:rFonts w:ascii="Times New Roman" w:hAnsi="Times New Roman" w:cs="Times New Roman"/>
          <w:bCs/>
          <w:sz w:val="24"/>
          <w:szCs w:val="24"/>
        </w:rPr>
        <w:t>di 67,7 mesi</w:t>
      </w:r>
      <w:r w:rsidR="00B22F92" w:rsidRPr="0049304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41BBF">
        <w:rPr>
          <w:rFonts w:ascii="Times New Roman" w:hAnsi="Times New Roman" w:cs="Times New Roman"/>
          <w:bCs/>
          <w:sz w:val="24"/>
          <w:szCs w:val="24"/>
        </w:rPr>
        <w:t>In questo studio di fase 3</w:t>
      </w:r>
      <w:r w:rsidR="00C76B68">
        <w:rPr>
          <w:rFonts w:ascii="Times New Roman" w:hAnsi="Times New Roman" w:cs="Times New Roman"/>
          <w:bCs/>
          <w:sz w:val="24"/>
          <w:szCs w:val="24"/>
        </w:rPr>
        <w:t xml:space="preserve"> l</w:t>
      </w:r>
      <w:r w:rsidR="008E6862" w:rsidRPr="0049304F">
        <w:rPr>
          <w:rFonts w:ascii="Times New Roman" w:hAnsi="Times New Roman" w:cs="Times New Roman"/>
          <w:bCs/>
          <w:sz w:val="24"/>
          <w:szCs w:val="24"/>
        </w:rPr>
        <w:t xml:space="preserve">a sopravvivenza globale mediana ha raggiunto </w:t>
      </w:r>
      <w:r w:rsidR="00C76B68">
        <w:rPr>
          <w:rFonts w:ascii="Times New Roman" w:hAnsi="Times New Roman" w:cs="Times New Roman"/>
          <w:bCs/>
          <w:sz w:val="24"/>
          <w:szCs w:val="24"/>
        </w:rPr>
        <w:t>55,7 mesi con la combinazione</w:t>
      </w:r>
      <w:r w:rsidR="00B22F92" w:rsidRPr="0049304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4930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tutti i pazienti randomizzati, </w:t>
      </w:r>
      <w:r w:rsidRPr="0049304F">
        <w:rPr>
          <w:rFonts w:ascii="Times New Roman" w:hAnsi="Times New Roman" w:cs="Times New Roman"/>
          <w:sz w:val="24"/>
          <w:szCs w:val="24"/>
        </w:rPr>
        <w:t>i tassi di sopravvivenza globale a</w:t>
      </w:r>
      <w:r w:rsidR="007C75E6" w:rsidRPr="0049304F">
        <w:rPr>
          <w:rFonts w:ascii="Times New Roman" w:hAnsi="Times New Roman" w:cs="Times New Roman"/>
          <w:sz w:val="24"/>
          <w:szCs w:val="24"/>
        </w:rPr>
        <w:t xml:space="preserve"> cinque</w:t>
      </w:r>
      <w:r w:rsidRPr="0049304F">
        <w:rPr>
          <w:rFonts w:ascii="Times New Roman" w:hAnsi="Times New Roman" w:cs="Times New Roman"/>
          <w:sz w:val="24"/>
          <w:szCs w:val="24"/>
        </w:rPr>
        <w:t xml:space="preserve"> anni erano pari al </w:t>
      </w:r>
      <w:r w:rsidR="007C75E6" w:rsidRPr="0049304F">
        <w:rPr>
          <w:rFonts w:ascii="Times New Roman" w:hAnsi="Times New Roman" w:cs="Times New Roman"/>
          <w:sz w:val="24"/>
          <w:szCs w:val="24"/>
        </w:rPr>
        <w:t>48</w:t>
      </w:r>
      <w:r w:rsidRPr="0049304F">
        <w:rPr>
          <w:rFonts w:ascii="Times New Roman" w:hAnsi="Times New Roman" w:cs="Times New Roman"/>
          <w:sz w:val="24"/>
          <w:szCs w:val="24"/>
        </w:rPr>
        <w:t xml:space="preserve">% con nivolumab </w:t>
      </w:r>
      <w:r w:rsidR="007E30B7">
        <w:rPr>
          <w:rFonts w:ascii="Times New Roman" w:hAnsi="Times New Roman" w:cs="Times New Roman"/>
          <w:sz w:val="24"/>
          <w:szCs w:val="24"/>
        </w:rPr>
        <w:t>più</w:t>
      </w:r>
      <w:r w:rsidRPr="0049304F">
        <w:rPr>
          <w:rFonts w:ascii="Times New Roman" w:hAnsi="Times New Roman" w:cs="Times New Roman"/>
          <w:sz w:val="24"/>
          <w:szCs w:val="24"/>
        </w:rPr>
        <w:t xml:space="preserve"> ipilimumab rispetto al </w:t>
      </w:r>
      <w:r w:rsidR="007C75E6" w:rsidRPr="0049304F">
        <w:rPr>
          <w:rFonts w:ascii="Times New Roman" w:hAnsi="Times New Roman" w:cs="Times New Roman"/>
          <w:sz w:val="24"/>
          <w:szCs w:val="24"/>
        </w:rPr>
        <w:t>37</w:t>
      </w:r>
      <w:r w:rsidRPr="0049304F">
        <w:rPr>
          <w:rFonts w:ascii="Times New Roman" w:hAnsi="Times New Roman" w:cs="Times New Roman"/>
          <w:sz w:val="24"/>
          <w:szCs w:val="24"/>
        </w:rPr>
        <w:t>% con sunitinib</w:t>
      </w:r>
      <w:r w:rsidR="00373FE8">
        <w:rPr>
          <w:rFonts w:ascii="Times New Roman" w:hAnsi="Times New Roman" w:cs="Times New Roman"/>
          <w:sz w:val="24"/>
          <w:szCs w:val="24"/>
        </w:rPr>
        <w:t>.</w:t>
      </w:r>
      <w:r w:rsidR="007E30B7">
        <w:rPr>
          <w:rFonts w:ascii="Times New Roman" w:hAnsi="Times New Roman" w:cs="Times New Roman"/>
          <w:sz w:val="24"/>
          <w:szCs w:val="24"/>
        </w:rPr>
        <w:t xml:space="preserve"> La combinazione</w:t>
      </w:r>
      <w:r w:rsidR="007C75E6" w:rsidRPr="0049304F">
        <w:rPr>
          <w:rFonts w:ascii="Times New Roman" w:hAnsi="Times New Roman" w:cs="Times New Roman"/>
          <w:sz w:val="24"/>
          <w:szCs w:val="24"/>
        </w:rPr>
        <w:t xml:space="preserve">, inoltre, ha </w:t>
      </w:r>
      <w:r w:rsidR="00B22F92" w:rsidRPr="0049304F">
        <w:rPr>
          <w:rFonts w:ascii="Times New Roman" w:hAnsi="Times New Roman" w:cs="Times New Roman"/>
          <w:sz w:val="24"/>
          <w:szCs w:val="24"/>
        </w:rPr>
        <w:t xml:space="preserve">evidenziato </w:t>
      </w:r>
      <w:r w:rsidR="007C75E6" w:rsidRPr="0049304F">
        <w:rPr>
          <w:rFonts w:ascii="Times New Roman" w:hAnsi="Times New Roman" w:cs="Times New Roman"/>
          <w:sz w:val="24"/>
          <w:szCs w:val="24"/>
        </w:rPr>
        <w:t>un tasso di risposta globale più alto rispetto a sunitinib (39% rispetto a 32%).”. “</w:t>
      </w:r>
      <w:r w:rsidR="00541BBF">
        <w:rPr>
          <w:rFonts w:ascii="Times New Roman" w:hAnsi="Times New Roman" w:cs="Times New Roman"/>
          <w:sz w:val="24"/>
          <w:szCs w:val="24"/>
        </w:rPr>
        <w:t>La combinazione di immunoterapia</w:t>
      </w:r>
      <w:r w:rsidR="00B22F92" w:rsidRPr="0049304F">
        <w:rPr>
          <w:rFonts w:ascii="Times New Roman" w:hAnsi="Times New Roman" w:cs="Times New Roman"/>
          <w:sz w:val="24"/>
          <w:szCs w:val="24"/>
        </w:rPr>
        <w:t xml:space="preserve"> </w:t>
      </w:r>
      <w:r w:rsidR="007C75E6" w:rsidRPr="0049304F">
        <w:rPr>
          <w:rFonts w:ascii="Times New Roman" w:hAnsi="Times New Roman" w:cs="Times New Roman"/>
          <w:sz w:val="24"/>
          <w:szCs w:val="24"/>
        </w:rPr>
        <w:t>migliora</w:t>
      </w:r>
      <w:r w:rsidR="00373FE8">
        <w:rPr>
          <w:rFonts w:ascii="Times New Roman" w:hAnsi="Times New Roman" w:cs="Times New Roman"/>
          <w:sz w:val="24"/>
          <w:szCs w:val="24"/>
        </w:rPr>
        <w:t xml:space="preserve"> e allunga</w:t>
      </w:r>
      <w:r w:rsidR="007C75E6" w:rsidRPr="0049304F">
        <w:rPr>
          <w:rFonts w:ascii="Times New Roman" w:hAnsi="Times New Roman" w:cs="Times New Roman"/>
          <w:sz w:val="24"/>
          <w:szCs w:val="24"/>
        </w:rPr>
        <w:t xml:space="preserve"> nettamente la speranza di vita</w:t>
      </w:r>
      <w:r w:rsidR="00B22F92" w:rsidRPr="0049304F">
        <w:rPr>
          <w:rFonts w:ascii="Times New Roman" w:hAnsi="Times New Roman" w:cs="Times New Roman"/>
          <w:sz w:val="24"/>
          <w:szCs w:val="24"/>
        </w:rPr>
        <w:t xml:space="preserve"> a lungo termine, come evidenziato da</w:t>
      </w:r>
      <w:r w:rsidR="00D74A6A">
        <w:rPr>
          <w:rFonts w:ascii="Times New Roman" w:hAnsi="Times New Roman" w:cs="Times New Roman"/>
          <w:sz w:val="24"/>
          <w:szCs w:val="24"/>
        </w:rPr>
        <w:t>lle</w:t>
      </w:r>
      <w:r w:rsidR="00B22F92" w:rsidRPr="0049304F">
        <w:rPr>
          <w:rFonts w:ascii="Times New Roman" w:hAnsi="Times New Roman" w:cs="Times New Roman"/>
          <w:sz w:val="24"/>
          <w:szCs w:val="24"/>
        </w:rPr>
        <w:t xml:space="preserve"> sottoanalisi</w:t>
      </w:r>
      <w:r w:rsidR="007C75E6" w:rsidRPr="0049304F">
        <w:rPr>
          <w:rFonts w:ascii="Times New Roman" w:hAnsi="Times New Roman" w:cs="Times New Roman"/>
          <w:sz w:val="24"/>
          <w:szCs w:val="24"/>
        </w:rPr>
        <w:t xml:space="preserve"> – continua il </w:t>
      </w:r>
      <w:r w:rsidR="0049304F">
        <w:rPr>
          <w:rFonts w:ascii="Times New Roman" w:hAnsi="Times New Roman" w:cs="Times New Roman"/>
          <w:sz w:val="24"/>
          <w:szCs w:val="24"/>
        </w:rPr>
        <w:t>p</w:t>
      </w:r>
      <w:r w:rsidR="007C75E6" w:rsidRPr="0049304F">
        <w:rPr>
          <w:rFonts w:ascii="Times New Roman" w:hAnsi="Times New Roman" w:cs="Times New Roman"/>
          <w:sz w:val="24"/>
          <w:szCs w:val="24"/>
        </w:rPr>
        <w:t>rof.</w:t>
      </w:r>
      <w:r w:rsidR="00B22F92" w:rsidRPr="0049304F">
        <w:rPr>
          <w:rFonts w:ascii="Times New Roman" w:hAnsi="Times New Roman" w:cs="Times New Roman"/>
          <w:sz w:val="24"/>
          <w:szCs w:val="24"/>
        </w:rPr>
        <w:t xml:space="preserve"> </w:t>
      </w:r>
      <w:r w:rsidR="007C75E6" w:rsidRPr="0049304F">
        <w:rPr>
          <w:rFonts w:ascii="Times New Roman" w:hAnsi="Times New Roman" w:cs="Times New Roman"/>
          <w:sz w:val="24"/>
          <w:szCs w:val="24"/>
        </w:rPr>
        <w:t>Pinto -.</w:t>
      </w:r>
      <w:r w:rsidR="0049304F" w:rsidRPr="0049304F">
        <w:rPr>
          <w:rFonts w:ascii="Times New Roman" w:hAnsi="Times New Roman" w:cs="Times New Roman"/>
          <w:sz w:val="24"/>
          <w:szCs w:val="24"/>
        </w:rPr>
        <w:t xml:space="preserve"> I pazienti vivi a 3 anni dopo l’avvio del trattamento con nivolumab più ipilimumab presentavano l’81% di probabilità di vivere anche nei due anni successivi e i pazienti liberi da progressione a 3 anni avevano l’89%</w:t>
      </w:r>
      <w:r w:rsidR="00D74A6A">
        <w:rPr>
          <w:rFonts w:ascii="Times New Roman" w:hAnsi="Times New Roman" w:cs="Times New Roman"/>
          <w:sz w:val="24"/>
          <w:szCs w:val="24"/>
        </w:rPr>
        <w:t xml:space="preserve"> di probabilità</w:t>
      </w:r>
      <w:r w:rsidR="0049304F" w:rsidRPr="0049304F">
        <w:rPr>
          <w:rFonts w:ascii="Times New Roman" w:hAnsi="Times New Roman" w:cs="Times New Roman"/>
          <w:sz w:val="24"/>
          <w:szCs w:val="24"/>
        </w:rPr>
        <w:t xml:space="preserve"> di restare in questa condizione per altri 24 mesi”.</w:t>
      </w:r>
      <w:r w:rsidR="004930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555FD4" w14:textId="08FF7884" w:rsidR="0076131C" w:rsidRDefault="00CA6653" w:rsidP="00761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</w:rPr>
        <w:t>La combinazione ha evidenziato miglioramenti nella sopravvivenza globale in sei studi di fase 3 relativi a 5 diversi tumori: oltre al carcinoma a cellule renali, il tumore del polmone</w:t>
      </w:r>
      <w:r w:rsidR="00C81EBA">
        <w:rPr>
          <w:rFonts w:ascii="Times New Roman" w:hAnsi="Times New Roman" w:cs="Times New Roman"/>
          <w:sz w:val="24"/>
          <w:szCs w:val="24"/>
        </w:rPr>
        <w:t xml:space="preserve"> non</w:t>
      </w:r>
      <w:r>
        <w:rPr>
          <w:rFonts w:ascii="Times New Roman" w:hAnsi="Times New Roman" w:cs="Times New Roman"/>
          <w:sz w:val="24"/>
          <w:szCs w:val="24"/>
        </w:rPr>
        <w:t xml:space="preserve"> a piccole cellule, </w:t>
      </w:r>
      <w:r w:rsidRPr="00694056">
        <w:rPr>
          <w:rFonts w:ascii="Times New Roman" w:hAnsi="Times New Roman" w:cs="Times New Roman"/>
          <w:sz w:val="24"/>
          <w:szCs w:val="24"/>
        </w:rPr>
        <w:t xml:space="preserve">il </w:t>
      </w:r>
      <w:r w:rsidRPr="0076131C">
        <w:rPr>
          <w:rFonts w:ascii="Times New Roman" w:hAnsi="Times New Roman" w:cs="Times New Roman"/>
          <w:sz w:val="24"/>
          <w:szCs w:val="24"/>
        </w:rPr>
        <w:t xml:space="preserve">melanoma, il </w:t>
      </w:r>
      <w:r w:rsidR="00E4121D" w:rsidRPr="0076131C">
        <w:rPr>
          <w:rFonts w:ascii="Times New Roman" w:hAnsi="Times New Roman" w:cs="Times New Roman"/>
          <w:sz w:val="24"/>
          <w:szCs w:val="24"/>
        </w:rPr>
        <w:t>cancro</w:t>
      </w:r>
      <w:r w:rsidRPr="0076131C">
        <w:rPr>
          <w:rFonts w:ascii="Times New Roman" w:hAnsi="Times New Roman" w:cs="Times New Roman"/>
          <w:sz w:val="24"/>
          <w:szCs w:val="24"/>
        </w:rPr>
        <w:t xml:space="preserve"> dell’esofago a cellule squamose e il mesotelioma pleurico. </w:t>
      </w:r>
      <w:r w:rsidR="00E4121D" w:rsidRPr="0076131C">
        <w:rPr>
          <w:rFonts w:ascii="Times New Roman" w:hAnsi="Times New Roman" w:cs="Times New Roman"/>
          <w:sz w:val="24"/>
          <w:szCs w:val="24"/>
        </w:rPr>
        <w:t>“Quest’ultimo è un tumore raro, nel 2020 in It</w:t>
      </w:r>
      <w:r w:rsidR="00C76B68">
        <w:rPr>
          <w:rFonts w:ascii="Times New Roman" w:hAnsi="Times New Roman" w:cs="Times New Roman"/>
          <w:sz w:val="24"/>
          <w:szCs w:val="24"/>
        </w:rPr>
        <w:t>alia sono stati stimati circa 1.2</w:t>
      </w:r>
      <w:r w:rsidR="00E4121D" w:rsidRPr="0076131C">
        <w:rPr>
          <w:rFonts w:ascii="Times New Roman" w:hAnsi="Times New Roman" w:cs="Times New Roman"/>
          <w:sz w:val="24"/>
          <w:szCs w:val="24"/>
        </w:rPr>
        <w:t>00 nuovi casi</w:t>
      </w:r>
      <w:r w:rsidR="00C76B68">
        <w:rPr>
          <w:rFonts w:ascii="Times New Roman" w:hAnsi="Times New Roman" w:cs="Times New Roman"/>
          <w:sz w:val="24"/>
          <w:szCs w:val="24"/>
        </w:rPr>
        <w:t xml:space="preserve"> </w:t>
      </w:r>
      <w:r w:rsidR="00E4121D" w:rsidRPr="0076131C">
        <w:rPr>
          <w:rFonts w:ascii="Times New Roman" w:hAnsi="Times New Roman" w:cs="Times New Roman"/>
          <w:sz w:val="24"/>
          <w:szCs w:val="24"/>
        </w:rPr>
        <w:t xml:space="preserve">– afferma il prof. Pinto -. La </w:t>
      </w:r>
      <w:r w:rsidR="00C76B68">
        <w:rPr>
          <w:rFonts w:ascii="Times New Roman" w:hAnsi="Times New Roman" w:cs="Times New Roman"/>
          <w:sz w:val="24"/>
          <w:szCs w:val="24"/>
        </w:rPr>
        <w:t>malattia è correlata con l’esposizione</w:t>
      </w:r>
      <w:r w:rsidR="00E4121D" w:rsidRPr="0076131C">
        <w:rPr>
          <w:rFonts w:ascii="Times New Roman" w:hAnsi="Times New Roman" w:cs="Times New Roman"/>
          <w:sz w:val="24"/>
          <w:szCs w:val="24"/>
        </w:rPr>
        <w:t xml:space="preserve"> professionale</w:t>
      </w:r>
      <w:r w:rsidR="00C76B68">
        <w:rPr>
          <w:rFonts w:ascii="Times New Roman" w:hAnsi="Times New Roman" w:cs="Times New Roman"/>
          <w:sz w:val="24"/>
          <w:szCs w:val="24"/>
        </w:rPr>
        <w:t>/ambientale</w:t>
      </w:r>
      <w:r w:rsidR="004001AF">
        <w:rPr>
          <w:rFonts w:ascii="Times New Roman" w:hAnsi="Times New Roman" w:cs="Times New Roman"/>
          <w:sz w:val="24"/>
          <w:szCs w:val="24"/>
        </w:rPr>
        <w:t xml:space="preserve"> alle fibre di amianto</w:t>
      </w:r>
      <w:r w:rsidR="00E4121D" w:rsidRPr="0076131C">
        <w:rPr>
          <w:rFonts w:ascii="Times New Roman" w:hAnsi="Times New Roman" w:cs="Times New Roman"/>
          <w:sz w:val="24"/>
          <w:szCs w:val="24"/>
        </w:rPr>
        <w:t>.</w:t>
      </w:r>
      <w:r w:rsidR="0076131C" w:rsidRPr="0076131C">
        <w:rPr>
          <w:rFonts w:ascii="Times New Roman" w:hAnsi="Times New Roman" w:cs="Times New Roman"/>
          <w:sz w:val="24"/>
          <w:szCs w:val="24"/>
        </w:rPr>
        <w:t xml:space="preserve"> </w:t>
      </w:r>
      <w:r w:rsidR="00C76B6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L’</w:t>
      </w:r>
      <w:r w:rsidR="007E4BE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impiego</w:t>
      </w:r>
      <w:r w:rsidR="00694056" w:rsidRPr="0076131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del minerale nel nostro Paes</w:t>
      </w:r>
      <w:r w:rsidR="007E4BE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e è terminato</w:t>
      </w:r>
      <w:r w:rsidR="00694056" w:rsidRPr="0076131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nel 1992, con la legge che </w:t>
      </w:r>
      <w:r w:rsidR="00541BBF">
        <w:rPr>
          <w:rFonts w:ascii="Times New Roman" w:eastAsia="Calibri" w:hAnsi="Times New Roman" w:cs="Times New Roman"/>
          <w:sz w:val="24"/>
          <w:szCs w:val="24"/>
          <w:lang w:eastAsia="it-IT"/>
        </w:rPr>
        <w:t>ha decretato</w:t>
      </w:r>
      <w:r w:rsidR="00694056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un generale divieto relativo all’estrazione, importazione, esportazione, commercializzazione e produzione dell’amianto</w:t>
      </w:r>
      <w:r w:rsidR="007E4BE6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, ma restano </w:t>
      </w:r>
      <w:r w:rsidR="003631AC">
        <w:rPr>
          <w:rFonts w:ascii="Times New Roman" w:eastAsia="Calibri" w:hAnsi="Times New Roman" w:cs="Times New Roman"/>
          <w:sz w:val="24"/>
          <w:szCs w:val="24"/>
          <w:lang w:eastAsia="it-IT"/>
        </w:rPr>
        <w:t>importanti</w:t>
      </w:r>
      <w:r w:rsidR="007E4BE6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le quantità </w:t>
      </w:r>
      <w:r w:rsidR="004001AF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di amianto </w:t>
      </w:r>
      <w:r w:rsidR="007E4BE6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presenti </w:t>
      </w:r>
      <w:r w:rsidR="003631A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ancora </w:t>
      </w:r>
      <w:r w:rsidR="007E4BE6">
        <w:rPr>
          <w:rFonts w:ascii="Times New Roman" w:eastAsia="Calibri" w:hAnsi="Times New Roman" w:cs="Times New Roman"/>
          <w:sz w:val="24"/>
          <w:szCs w:val="24"/>
          <w:lang w:eastAsia="it-IT"/>
        </w:rPr>
        <w:t>nei territori soprattutto in diverse tipologie</w:t>
      </w:r>
      <w:r w:rsidR="00BE361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di</w:t>
      </w:r>
      <w:r w:rsidR="007E4BE6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strutture edilizie</w:t>
      </w:r>
      <w:r w:rsidR="00694056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>.</w:t>
      </w:r>
      <w:r w:rsidR="00887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r w:rsidR="00052490">
        <w:rPr>
          <w:rFonts w:ascii="Times New Roman" w:hAnsi="Times New Roman" w:cs="Times New Roman"/>
          <w:bCs/>
          <w:iCs/>
          <w:sz w:val="24"/>
          <w:szCs w:val="24"/>
        </w:rPr>
        <w:t xml:space="preserve">Il mesotelioma insorge a distanza di alcuni </w:t>
      </w:r>
      <w:r w:rsidR="00694056" w:rsidRPr="0076131C">
        <w:rPr>
          <w:rFonts w:ascii="Times New Roman" w:hAnsi="Times New Roman" w:cs="Times New Roman"/>
          <w:bCs/>
          <w:iCs/>
          <w:sz w:val="24"/>
          <w:szCs w:val="24"/>
        </w:rPr>
        <w:t>decenn</w:t>
      </w:r>
      <w:r w:rsidR="00052490">
        <w:rPr>
          <w:rFonts w:ascii="Times New Roman" w:hAnsi="Times New Roman" w:cs="Times New Roman"/>
          <w:bCs/>
          <w:iCs/>
          <w:sz w:val="24"/>
          <w:szCs w:val="24"/>
        </w:rPr>
        <w:t>i dopo l’esposizione all’amianto</w:t>
      </w:r>
      <w:r w:rsidR="00694056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76131C" w:rsidRPr="0076131C">
        <w:rPr>
          <w:rFonts w:ascii="Times New Roman" w:hAnsi="Times New Roman" w:cs="Times New Roman"/>
          <w:bCs/>
          <w:iCs/>
          <w:sz w:val="24"/>
          <w:szCs w:val="24"/>
        </w:rPr>
        <w:t>e</w:t>
      </w:r>
      <w:r w:rsidR="00052490">
        <w:rPr>
          <w:rFonts w:ascii="Times New Roman" w:hAnsi="Times New Roman" w:cs="Times New Roman"/>
          <w:bCs/>
          <w:iCs/>
          <w:sz w:val="24"/>
          <w:szCs w:val="24"/>
        </w:rPr>
        <w:t xml:space="preserve"> pertanto</w:t>
      </w:r>
      <w:r w:rsidR="0076131C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6131C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 in questi anni</w:t>
      </w:r>
      <w:r w:rsidR="0076131C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6131C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052490">
        <w:rPr>
          <w:rFonts w:ascii="Times New Roman" w:hAnsi="Times New Roman" w:cs="Times New Roman"/>
          <w:bCs/>
          <w:iCs/>
          <w:sz w:val="24"/>
          <w:szCs w:val="24"/>
        </w:rPr>
        <w:t xml:space="preserve">continua ad essere diagnosticato </w:t>
      </w:r>
      <w:r w:rsidR="0076131C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>propr</w:t>
      </w:r>
      <w:r w:rsidR="00F90A5A">
        <w:rPr>
          <w:rFonts w:ascii="Times New Roman" w:eastAsia="Calibri" w:hAnsi="Times New Roman" w:cs="Times New Roman"/>
          <w:sz w:val="24"/>
          <w:szCs w:val="24"/>
          <w:lang w:eastAsia="it-IT"/>
        </w:rPr>
        <w:t>io per l’uso intenso del minera</w:t>
      </w:r>
      <w:r w:rsidR="0076131C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le dal secondo </w:t>
      </w:r>
      <w:r w:rsidR="0076131C">
        <w:rPr>
          <w:rFonts w:ascii="Times New Roman" w:eastAsia="Calibri" w:hAnsi="Times New Roman" w:cs="Times New Roman"/>
          <w:sz w:val="24"/>
          <w:szCs w:val="24"/>
          <w:lang w:eastAsia="it-IT"/>
        </w:rPr>
        <w:t>d</w:t>
      </w:r>
      <w:r w:rsidR="0076131C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opoguerra </w:t>
      </w:r>
      <w:r w:rsidR="003631AC">
        <w:rPr>
          <w:rFonts w:ascii="Times New Roman" w:eastAsia="Calibri" w:hAnsi="Times New Roman" w:cs="Times New Roman"/>
          <w:sz w:val="24"/>
          <w:szCs w:val="24"/>
          <w:lang w:eastAsia="it-IT"/>
        </w:rPr>
        <w:t>fino agli inizi degli anni Novanta</w:t>
      </w:r>
      <w:r w:rsidR="0076131C" w:rsidRPr="0076131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”. </w:t>
      </w:r>
      <w:r w:rsidR="0076131C" w:rsidRPr="0076131C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="0076131C">
        <w:rPr>
          <w:rFonts w:ascii="Times New Roman" w:hAnsi="Times New Roman" w:cs="Times New Roman"/>
          <w:bCs/>
          <w:iCs/>
          <w:sz w:val="24"/>
          <w:szCs w:val="24"/>
        </w:rPr>
        <w:t>Le</w:t>
      </w:r>
      <w:r w:rsidR="00694056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 opzioni terapeutiche</w:t>
      </w:r>
      <w:r w:rsidR="0076131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3631AC">
        <w:rPr>
          <w:rFonts w:ascii="Times New Roman" w:hAnsi="Times New Roman" w:cs="Times New Roman"/>
          <w:bCs/>
          <w:iCs/>
          <w:sz w:val="24"/>
          <w:szCs w:val="24"/>
        </w:rPr>
        <w:t xml:space="preserve">sono </w:t>
      </w:r>
      <w:r w:rsidR="0076131C">
        <w:rPr>
          <w:rFonts w:ascii="Times New Roman" w:hAnsi="Times New Roman" w:cs="Times New Roman"/>
          <w:bCs/>
          <w:iCs/>
          <w:sz w:val="24"/>
          <w:szCs w:val="24"/>
        </w:rPr>
        <w:t>ridotte</w:t>
      </w:r>
      <w:r w:rsidR="0076131C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 – spiega Carmine Pinto</w:t>
      </w:r>
      <w:r w:rsidR="00BE361C">
        <w:rPr>
          <w:rFonts w:ascii="Times New Roman" w:hAnsi="Times New Roman" w:cs="Times New Roman"/>
          <w:bCs/>
          <w:iCs/>
          <w:sz w:val="24"/>
          <w:szCs w:val="24"/>
        </w:rPr>
        <w:t xml:space="preserve"> -</w:t>
      </w:r>
      <w:r w:rsidR="003631AC">
        <w:rPr>
          <w:rFonts w:ascii="Times New Roman" w:hAnsi="Times New Roman" w:cs="Times New Roman"/>
          <w:bCs/>
          <w:iCs/>
          <w:sz w:val="24"/>
          <w:szCs w:val="24"/>
        </w:rPr>
        <w:t>. L</w:t>
      </w:r>
      <w:r w:rsidR="00694056" w:rsidRPr="0076131C">
        <w:rPr>
          <w:rFonts w:ascii="Times New Roman" w:hAnsi="Times New Roman" w:cs="Times New Roman"/>
          <w:bCs/>
          <w:iCs/>
          <w:sz w:val="24"/>
          <w:szCs w:val="24"/>
        </w:rPr>
        <w:t xml:space="preserve">a </w:t>
      </w:r>
      <w:r w:rsidR="00694056" w:rsidRPr="008873DB">
        <w:rPr>
          <w:rFonts w:ascii="Times New Roman" w:hAnsi="Times New Roman" w:cs="Times New Roman"/>
          <w:bCs/>
          <w:iCs/>
          <w:sz w:val="24"/>
          <w:szCs w:val="24"/>
        </w:rPr>
        <w:t>chemioterapia ha mostrato vantaggi nella fase avanzata</w:t>
      </w:r>
      <w:r w:rsidR="0076131C" w:rsidRPr="008873DB">
        <w:rPr>
          <w:rFonts w:ascii="Times New Roman" w:hAnsi="Times New Roman" w:cs="Times New Roman"/>
          <w:bCs/>
          <w:iCs/>
          <w:sz w:val="24"/>
          <w:szCs w:val="24"/>
        </w:rPr>
        <w:t xml:space="preserve">, con solo il 10% dei pazienti vivo a 5 </w:t>
      </w:r>
      <w:r w:rsidR="0076131C" w:rsidRPr="008873DB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anni. </w:t>
      </w:r>
      <w:r w:rsidR="00694056" w:rsidRPr="008873DB">
        <w:rPr>
          <w:rFonts w:ascii="Times New Roman" w:hAnsi="Times New Roman" w:cs="Times New Roman"/>
          <w:sz w:val="24"/>
          <w:szCs w:val="24"/>
        </w:rPr>
        <w:t>I dati presentati all’ESMO</w:t>
      </w:r>
      <w:r w:rsidR="00EE1A7D">
        <w:rPr>
          <w:rFonts w:ascii="Times New Roman" w:hAnsi="Times New Roman" w:cs="Times New Roman"/>
          <w:sz w:val="24"/>
          <w:szCs w:val="24"/>
        </w:rPr>
        <w:t xml:space="preserve"> rappresentano un passo in avanti</w:t>
      </w:r>
      <w:r w:rsidR="00F90A5A">
        <w:rPr>
          <w:rFonts w:ascii="Times New Roman" w:hAnsi="Times New Roman" w:cs="Times New Roman"/>
          <w:sz w:val="24"/>
          <w:szCs w:val="24"/>
        </w:rPr>
        <w:t xml:space="preserve"> nella strategia terapeutica</w:t>
      </w:r>
      <w:r w:rsidR="0076131C" w:rsidRPr="008873DB">
        <w:rPr>
          <w:rFonts w:ascii="Times New Roman" w:hAnsi="Times New Roman" w:cs="Times New Roman"/>
          <w:sz w:val="24"/>
          <w:szCs w:val="24"/>
        </w:rPr>
        <w:t xml:space="preserve">. 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Nello studio di fase 3 CheckMate -743 che ha coinvolto 605 pazienti, a un follow up minimo di 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35,</w:t>
      </w:r>
      <w:r w:rsidR="00914566">
        <w:rPr>
          <w:rFonts w:ascii="Times New Roman" w:eastAsia="Times New Roman" w:hAnsi="Times New Roman" w:cs="Times New Roman"/>
          <w:sz w:val="24"/>
          <w:szCs w:val="24"/>
          <w:lang w:eastAsia="it-IT"/>
        </w:rPr>
        <w:t>5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mesi, la combinazione di 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nivolumab e ipilimumab in prima linea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ha ridotto il rischio di morte del 2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7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%, 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evidenziando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una sopravvivenza globale mediana di 18,1 mesi rispetto a </w:t>
      </w:r>
      <w:r w:rsidR="00914566">
        <w:rPr>
          <w:rFonts w:ascii="Times New Roman" w:eastAsia="Times New Roman" w:hAnsi="Times New Roman" w:cs="Times New Roman"/>
          <w:sz w:val="24"/>
          <w:szCs w:val="24"/>
          <w:lang w:eastAsia="it-IT"/>
        </w:rPr>
        <w:t>14</w:t>
      </w:r>
      <w:r w:rsidR="00EA0641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91456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 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mesi con la chemiot</w:t>
      </w:r>
      <w:r w:rsidR="006C412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erapia. Nello studio, la combinazione 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immunoterapi</w:t>
      </w:r>
      <w:r w:rsidR="006C412C">
        <w:rPr>
          <w:rFonts w:ascii="Times New Roman" w:eastAsia="Times New Roman" w:hAnsi="Times New Roman" w:cs="Times New Roman"/>
          <w:sz w:val="24"/>
          <w:szCs w:val="24"/>
          <w:lang w:eastAsia="it-IT"/>
        </w:rPr>
        <w:t>c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a ha dimostrato un miglioramento clinicamente significativo nella sopravvivenza, con il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23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% dei pazienti ancora vivo a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tre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anni rispetto al 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15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% con la chemioterapia</w:t>
      </w:r>
      <w:r w:rsidR="006F679A">
        <w:rPr>
          <w:rFonts w:ascii="Times New Roman" w:eastAsia="Times New Roman" w:hAnsi="Times New Roman" w:cs="Times New Roman"/>
          <w:sz w:val="24"/>
          <w:szCs w:val="24"/>
          <w:lang w:eastAsia="it-IT"/>
        </w:rPr>
        <w:t>. I benefici della combinazione</w:t>
      </w:r>
      <w:r w:rsidR="00934279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6F679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inoltre</w:t>
      </w:r>
      <w:r w:rsidR="00934279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6F679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durano nel tempo con una durata mediana della risposta di 11,6 mesi rispetto ai 6,7 mesi della chemioterapia</w:t>
      </w:r>
      <w:r w:rsidR="008873DB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”</w:t>
      </w:r>
      <w:r w:rsidR="0076131C" w:rsidRPr="008873DB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7A92CD99" w14:textId="11A099E8" w:rsidR="00434053" w:rsidRPr="001506ED" w:rsidRDefault="006C412C" w:rsidP="00694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Un’altra neoplasia con limiti e difficoltà nella cura </w:t>
      </w:r>
      <w:r w:rsidR="00D26946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>è</w:t>
      </w:r>
      <w:r w:rsidR="00434053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812539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>il tumore dell’esofago</w:t>
      </w:r>
      <w:r w:rsidR="00434053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>. “Il dato di sopravvivenza a 5 anni</w:t>
      </w:r>
      <w:r w:rsidR="00D26946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>, pari al</w:t>
      </w:r>
      <w:r w:rsidR="00434053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13%</w:t>
      </w:r>
      <w:r w:rsidR="00D26946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434053" w:rsidRPr="001506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lo colloca fra le neoplasie a prognosi peggiore – conclude il Prof. Pinto -. </w:t>
      </w:r>
      <w:r w:rsidR="00D26946" w:rsidRPr="001506ED">
        <w:rPr>
          <w:rFonts w:ascii="Times New Roman" w:hAnsi="Times New Roman" w:cs="Times New Roman"/>
          <w:sz w:val="24"/>
          <w:szCs w:val="24"/>
        </w:rPr>
        <w:t>In cinque anni (2015-2020), in Italia, i nuovi casi di tumore dell’esofago sono aume</w:t>
      </w:r>
      <w:r w:rsidR="00281262">
        <w:rPr>
          <w:rFonts w:ascii="Times New Roman" w:hAnsi="Times New Roman" w:cs="Times New Roman"/>
          <w:sz w:val="24"/>
          <w:szCs w:val="24"/>
        </w:rPr>
        <w:t>ntati del 26%, da 1.900 a 2.400</w:t>
      </w:r>
      <w:r w:rsidR="00D26946" w:rsidRPr="001506ED">
        <w:rPr>
          <w:rFonts w:ascii="Times New Roman" w:hAnsi="Times New Roman" w:cs="Times New Roman"/>
          <w:sz w:val="24"/>
          <w:szCs w:val="24"/>
        </w:rPr>
        <w:t xml:space="preserve">. </w:t>
      </w:r>
      <w:r w:rsidR="001506ED" w:rsidRPr="001506ED">
        <w:rPr>
          <w:rFonts w:ascii="Times New Roman" w:hAnsi="Times New Roman" w:cs="Times New Roman"/>
          <w:sz w:val="24"/>
          <w:szCs w:val="24"/>
        </w:rPr>
        <w:t>I dati dello studio CheckMate -577 evidenziano l’efficacia di nivolumab somministrato</w:t>
      </w:r>
      <w:r w:rsidR="0093166D" w:rsidRPr="0093166D">
        <w:rPr>
          <w:rFonts w:ascii="Times New Roman" w:hAnsi="Times New Roman" w:cs="Times New Roman"/>
          <w:sz w:val="24"/>
          <w:szCs w:val="24"/>
        </w:rPr>
        <w:t xml:space="preserve"> </w:t>
      </w:r>
      <w:r w:rsidR="0093166D" w:rsidRPr="001506ED">
        <w:rPr>
          <w:rFonts w:ascii="Times New Roman" w:hAnsi="Times New Roman" w:cs="Times New Roman"/>
          <w:sz w:val="24"/>
          <w:szCs w:val="24"/>
        </w:rPr>
        <w:t>come terapia adiuvante, cioè s</w:t>
      </w:r>
      <w:r w:rsidR="0093166D">
        <w:rPr>
          <w:rFonts w:ascii="Times New Roman" w:hAnsi="Times New Roman" w:cs="Times New Roman"/>
          <w:sz w:val="24"/>
          <w:szCs w:val="24"/>
        </w:rPr>
        <w:t xml:space="preserve">uccessiva alla </w:t>
      </w:r>
      <w:r w:rsidR="0093166D" w:rsidRPr="001506ED">
        <w:rPr>
          <w:rFonts w:ascii="Times New Roman" w:hAnsi="Times New Roman" w:cs="Times New Roman"/>
          <w:sz w:val="24"/>
          <w:szCs w:val="24"/>
        </w:rPr>
        <w:t>chirurgia</w:t>
      </w:r>
      <w:r w:rsidR="0093166D">
        <w:rPr>
          <w:rFonts w:ascii="Times New Roman" w:hAnsi="Times New Roman" w:cs="Times New Roman"/>
          <w:sz w:val="24"/>
          <w:szCs w:val="24"/>
        </w:rPr>
        <w:t>, nei pazienti che presentavano un resi</w:t>
      </w:r>
      <w:r w:rsidR="00883E5A">
        <w:rPr>
          <w:rFonts w:ascii="Times New Roman" w:hAnsi="Times New Roman" w:cs="Times New Roman"/>
          <w:sz w:val="24"/>
          <w:szCs w:val="24"/>
        </w:rPr>
        <w:t>duo di malattia nel pezzo chirurgico</w:t>
      </w:r>
      <w:r w:rsidR="008A7B0D">
        <w:rPr>
          <w:rFonts w:ascii="Times New Roman" w:hAnsi="Times New Roman" w:cs="Times New Roman"/>
          <w:sz w:val="24"/>
          <w:szCs w:val="24"/>
        </w:rPr>
        <w:t xml:space="preserve"> dopo chemio-radioterapia pre-operatoria</w:t>
      </w:r>
      <w:r w:rsidR="0093166D">
        <w:rPr>
          <w:rFonts w:ascii="Times New Roman" w:hAnsi="Times New Roman" w:cs="Times New Roman"/>
          <w:sz w:val="24"/>
          <w:szCs w:val="24"/>
        </w:rPr>
        <w:t>,</w:t>
      </w:r>
      <w:r w:rsidR="00BE361C">
        <w:rPr>
          <w:rFonts w:ascii="Times New Roman" w:hAnsi="Times New Roman" w:cs="Times New Roman"/>
          <w:sz w:val="24"/>
          <w:szCs w:val="24"/>
        </w:rPr>
        <w:t xml:space="preserve"> </w:t>
      </w:r>
      <w:r w:rsidR="00281262">
        <w:rPr>
          <w:rFonts w:ascii="Times New Roman" w:hAnsi="Times New Roman" w:cs="Times New Roman"/>
          <w:sz w:val="24"/>
          <w:szCs w:val="24"/>
        </w:rPr>
        <w:t>con una riduzione del 33% del rischio di recidiva e un’ottima tollerabilità del trattamento</w:t>
      </w:r>
      <w:r w:rsidR="001506ED" w:rsidRPr="001506ED">
        <w:rPr>
          <w:rFonts w:ascii="Times New Roman" w:hAnsi="Times New Roman" w:cs="Times New Roman"/>
          <w:sz w:val="24"/>
          <w:szCs w:val="24"/>
        </w:rPr>
        <w:t xml:space="preserve">”. </w:t>
      </w:r>
    </w:p>
    <w:p w14:paraId="01E8AD8C" w14:textId="593D0AE2" w:rsidR="0016042C" w:rsidRDefault="0016042C" w:rsidP="00694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D76362" w14:textId="77777777" w:rsidR="00BE361C" w:rsidRPr="001506ED" w:rsidRDefault="00BE361C" w:rsidP="00694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5D591" w14:textId="77777777" w:rsidR="001506ED" w:rsidRPr="005C6910" w:rsidRDefault="001506ED" w:rsidP="001506ED">
      <w:pPr>
        <w:spacing w:after="0" w:line="240" w:lineRule="auto"/>
        <w:rPr>
          <w:sz w:val="24"/>
          <w:szCs w:val="24"/>
        </w:rPr>
      </w:pPr>
      <w:r w:rsidRPr="005C691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Ufficio stampa </w:t>
      </w:r>
    </w:p>
    <w:p w14:paraId="534EF537" w14:textId="77777777" w:rsidR="001506ED" w:rsidRPr="00246E86" w:rsidRDefault="001506ED" w:rsidP="001506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E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Intermedia</w:t>
      </w:r>
    </w:p>
    <w:p w14:paraId="17221B25" w14:textId="77777777" w:rsidR="001506ED" w:rsidRPr="00D34C8F" w:rsidRDefault="00F6058F" w:rsidP="001506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6" w:history="1">
        <w:r w:rsidR="001506ED" w:rsidRPr="00D34C8F">
          <w:rPr>
            <w:rStyle w:val="Collegamentoipertestuale"/>
            <w:rFonts w:ascii="Times New Roman" w:hAnsi="Times New Roman" w:cs="Times New Roman"/>
            <w:color w:val="954F72"/>
            <w:sz w:val="24"/>
            <w:szCs w:val="24"/>
            <w:bdr w:val="none" w:sz="0" w:space="0" w:color="auto" w:frame="1"/>
          </w:rPr>
          <w:t>intermedia@intermedianews.it</w:t>
        </w:r>
      </w:hyperlink>
    </w:p>
    <w:p w14:paraId="12781DF4" w14:textId="264462FB" w:rsidR="001506ED" w:rsidRPr="00C121E3" w:rsidRDefault="00011F44" w:rsidP="001506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030226105 - </w:t>
      </w:r>
      <w:r w:rsidR="001506ED" w:rsidRPr="00D34C8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3351892975 – 335265394</w:t>
      </w:r>
    </w:p>
    <w:p w14:paraId="760C5C17" w14:textId="77777777" w:rsidR="001506ED" w:rsidRDefault="001506ED" w:rsidP="006940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FBF8ACB" w14:textId="12CC0952" w:rsidR="00434053" w:rsidRDefault="00434053" w:rsidP="006940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88E53E0" w14:textId="77777777" w:rsidR="00434053" w:rsidRDefault="00434053" w:rsidP="006940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B4A27ED" w14:textId="77777777" w:rsidR="007C3B38" w:rsidRDefault="007C3B38">
      <w:pPr>
        <w:rPr>
          <w:rFonts w:ascii="Times New Roman" w:hAnsi="Times New Roman" w:cs="Times New Roman"/>
          <w:sz w:val="24"/>
          <w:szCs w:val="24"/>
        </w:rPr>
      </w:pPr>
    </w:p>
    <w:p w14:paraId="50B507E0" w14:textId="77777777" w:rsidR="0007412C" w:rsidRPr="0007412C" w:rsidRDefault="0007412C">
      <w:pPr>
        <w:rPr>
          <w:rFonts w:ascii="Times New Roman" w:hAnsi="Times New Roman" w:cs="Times New Roman"/>
          <w:sz w:val="24"/>
          <w:szCs w:val="24"/>
        </w:rPr>
      </w:pPr>
    </w:p>
    <w:sectPr w:rsidR="0007412C" w:rsidRPr="0007412C" w:rsidSect="00970560">
      <w:headerReference w:type="first" r:id="rId7"/>
      <w:pgSz w:w="11906" w:h="16838"/>
      <w:pgMar w:top="1701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48B8C" w14:textId="77777777" w:rsidR="005C5FCA" w:rsidRDefault="005C5FCA" w:rsidP="00D74A6A">
      <w:pPr>
        <w:spacing w:after="0" w:line="240" w:lineRule="auto"/>
      </w:pPr>
      <w:r>
        <w:separator/>
      </w:r>
    </w:p>
  </w:endnote>
  <w:endnote w:type="continuationSeparator" w:id="0">
    <w:p w14:paraId="1818E199" w14:textId="77777777" w:rsidR="005C5FCA" w:rsidRDefault="005C5FCA" w:rsidP="00D74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737BD" w14:textId="77777777" w:rsidR="005C5FCA" w:rsidRDefault="005C5FCA" w:rsidP="00D74A6A">
      <w:pPr>
        <w:spacing w:after="0" w:line="240" w:lineRule="auto"/>
      </w:pPr>
      <w:r>
        <w:separator/>
      </w:r>
    </w:p>
  </w:footnote>
  <w:footnote w:type="continuationSeparator" w:id="0">
    <w:p w14:paraId="29983788" w14:textId="77777777" w:rsidR="005C5FCA" w:rsidRDefault="005C5FCA" w:rsidP="00D74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0455D" w14:textId="26DD92FB" w:rsidR="00D74A6A" w:rsidRDefault="00D74A6A" w:rsidP="00D74A6A">
    <w:pPr>
      <w:pStyle w:val="Intestazione"/>
      <w:jc w:val="center"/>
    </w:pPr>
    <w:r w:rsidRPr="00DF7D6A">
      <w:rPr>
        <w:noProof/>
        <w:lang w:eastAsia="it-IT"/>
      </w:rPr>
      <w:drawing>
        <wp:inline distT="0" distB="0" distL="0" distR="0" wp14:anchorId="1D5C5F9B" wp14:editId="7BCC8E87">
          <wp:extent cx="1741118" cy="1074852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4743" cy="1077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772E"/>
    <w:rsid w:val="00011F44"/>
    <w:rsid w:val="00052490"/>
    <w:rsid w:val="0007412C"/>
    <w:rsid w:val="000E538D"/>
    <w:rsid w:val="00122CA7"/>
    <w:rsid w:val="001427DB"/>
    <w:rsid w:val="001506ED"/>
    <w:rsid w:val="00152026"/>
    <w:rsid w:val="0016042C"/>
    <w:rsid w:val="001772CB"/>
    <w:rsid w:val="002325C6"/>
    <w:rsid w:val="00281262"/>
    <w:rsid w:val="00304494"/>
    <w:rsid w:val="003631AC"/>
    <w:rsid w:val="00373FE8"/>
    <w:rsid w:val="003D2B72"/>
    <w:rsid w:val="004001AF"/>
    <w:rsid w:val="00434053"/>
    <w:rsid w:val="0049304F"/>
    <w:rsid w:val="004E54B4"/>
    <w:rsid w:val="00541BBF"/>
    <w:rsid w:val="005869AC"/>
    <w:rsid w:val="005917AB"/>
    <w:rsid w:val="005A3275"/>
    <w:rsid w:val="005C5FCA"/>
    <w:rsid w:val="006866B7"/>
    <w:rsid w:val="00694056"/>
    <w:rsid w:val="006C026C"/>
    <w:rsid w:val="006C412C"/>
    <w:rsid w:val="006F679A"/>
    <w:rsid w:val="007221B1"/>
    <w:rsid w:val="0076131C"/>
    <w:rsid w:val="007C3B38"/>
    <w:rsid w:val="007C75E6"/>
    <w:rsid w:val="007E30B7"/>
    <w:rsid w:val="007E4BE6"/>
    <w:rsid w:val="00812539"/>
    <w:rsid w:val="008218E7"/>
    <w:rsid w:val="00867A45"/>
    <w:rsid w:val="00883E5A"/>
    <w:rsid w:val="008873DB"/>
    <w:rsid w:val="008A7B0D"/>
    <w:rsid w:val="008E6862"/>
    <w:rsid w:val="00914566"/>
    <w:rsid w:val="00914FFD"/>
    <w:rsid w:val="0093166D"/>
    <w:rsid w:val="00934279"/>
    <w:rsid w:val="00970560"/>
    <w:rsid w:val="00975540"/>
    <w:rsid w:val="009B6504"/>
    <w:rsid w:val="00AD2BED"/>
    <w:rsid w:val="00B13D10"/>
    <w:rsid w:val="00B22F92"/>
    <w:rsid w:val="00B751E7"/>
    <w:rsid w:val="00BE361C"/>
    <w:rsid w:val="00BE7B8D"/>
    <w:rsid w:val="00C76B68"/>
    <w:rsid w:val="00C81EBA"/>
    <w:rsid w:val="00CA6653"/>
    <w:rsid w:val="00D26946"/>
    <w:rsid w:val="00D74A6A"/>
    <w:rsid w:val="00DA3B84"/>
    <w:rsid w:val="00E10507"/>
    <w:rsid w:val="00E4121D"/>
    <w:rsid w:val="00EA0641"/>
    <w:rsid w:val="00ED3020"/>
    <w:rsid w:val="00ED772E"/>
    <w:rsid w:val="00EE1A7D"/>
    <w:rsid w:val="00F45FDA"/>
    <w:rsid w:val="00F5523D"/>
    <w:rsid w:val="00F6058F"/>
    <w:rsid w:val="00F90A5A"/>
    <w:rsid w:val="00F9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B6EAE"/>
  <w15:docId w15:val="{DF14F93E-25C9-402E-BDEB-2DD392161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delicata">
    <w:name w:val="Subtle Emphasis"/>
    <w:basedOn w:val="Carpredefinitoparagrafo"/>
    <w:uiPriority w:val="19"/>
    <w:qFormat/>
    <w:rsid w:val="0007412C"/>
    <w:rPr>
      <w:i/>
      <w:iCs/>
      <w:color w:val="404040" w:themeColor="text1" w:themeTint="BF"/>
    </w:rPr>
  </w:style>
  <w:style w:type="character" w:styleId="Collegamentoipertestuale">
    <w:name w:val="Hyperlink"/>
    <w:basedOn w:val="Carpredefinitoparagrafo"/>
    <w:uiPriority w:val="99"/>
    <w:semiHidden/>
    <w:unhideWhenUsed/>
    <w:rsid w:val="001506ED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74A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4A6A"/>
  </w:style>
  <w:style w:type="paragraph" w:styleId="Pidipagina">
    <w:name w:val="footer"/>
    <w:basedOn w:val="Normale"/>
    <w:link w:val="PidipaginaCarattere"/>
    <w:uiPriority w:val="99"/>
    <w:unhideWhenUsed/>
    <w:rsid w:val="00D74A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4A6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2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2B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914</Words>
  <Characters>5216</Characters>
  <Application>Microsoft Office Word</Application>
  <DocSecurity>0</DocSecurity>
  <Lines>43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Paolo Cabra - Intermedia</cp:lastModifiedBy>
  <cp:revision>27</cp:revision>
  <dcterms:created xsi:type="dcterms:W3CDTF">2021-09-14T07:48:00Z</dcterms:created>
  <dcterms:modified xsi:type="dcterms:W3CDTF">2021-09-17T08:49:00Z</dcterms:modified>
</cp:coreProperties>
</file>