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B0B1B" w14:textId="0AEA9E7B" w:rsidR="00B43F50" w:rsidRDefault="00B43F50" w:rsidP="00F651F3">
      <w:pPr>
        <w:jc w:val="center"/>
        <w:rPr>
          <w:rFonts w:ascii="Arial" w:hAnsi="Arial"/>
          <w:b/>
          <w:color w:val="000000" w:themeColor="text1"/>
          <w:lang w:val="it-IT"/>
        </w:rPr>
      </w:pPr>
      <w:bookmarkStart w:id="0" w:name="_Hlk73523894"/>
      <w:r>
        <w:rPr>
          <w:rFonts w:ascii="Arial" w:hAnsi="Arial"/>
          <w:b/>
          <w:color w:val="000000" w:themeColor="text1"/>
          <w:lang w:val="it-IT"/>
        </w:rPr>
        <w:t>COMUNICATO STAMPA</w:t>
      </w:r>
    </w:p>
    <w:p w14:paraId="10D7352B" w14:textId="77777777" w:rsidR="00B43F50" w:rsidRPr="00F211F5" w:rsidRDefault="00B43F50" w:rsidP="00F651F3">
      <w:pPr>
        <w:rPr>
          <w:rFonts w:ascii="Arial" w:hAnsi="Arial"/>
          <w:b/>
          <w:color w:val="000000" w:themeColor="text1"/>
          <w:lang w:val="it-IT"/>
        </w:rPr>
      </w:pPr>
    </w:p>
    <w:p w14:paraId="7D539DBB" w14:textId="13BD7C9D" w:rsidR="005E220E" w:rsidRDefault="005E220E" w:rsidP="00A46FFF">
      <w:pPr>
        <w:jc w:val="center"/>
        <w:rPr>
          <w:rFonts w:ascii="Arial" w:hAnsi="Arial"/>
          <w:b/>
          <w:color w:val="000000" w:themeColor="text1"/>
          <w:lang w:val="it-IT"/>
        </w:rPr>
      </w:pPr>
      <w:r>
        <w:rPr>
          <w:rFonts w:ascii="Arial" w:hAnsi="Arial"/>
          <w:b/>
          <w:color w:val="000000" w:themeColor="text1"/>
          <w:lang w:val="it-IT"/>
        </w:rPr>
        <w:t xml:space="preserve">TUMORE DEL RENE: PEMBROLIZUMAB RIDUCE IL RISCHIO DI RECIDIVA O DI </w:t>
      </w:r>
      <w:r w:rsidRPr="00236D70">
        <w:rPr>
          <w:rFonts w:ascii="Arial" w:hAnsi="Arial"/>
          <w:b/>
          <w:color w:val="000000" w:themeColor="text1"/>
          <w:lang w:val="it-IT"/>
        </w:rPr>
        <w:t xml:space="preserve">MORTE DEL </w:t>
      </w:r>
      <w:r w:rsidR="00236D70" w:rsidRPr="00236D70">
        <w:rPr>
          <w:rFonts w:ascii="Arial" w:hAnsi="Arial"/>
          <w:b/>
          <w:color w:val="000000" w:themeColor="text1"/>
          <w:lang w:val="it-IT"/>
        </w:rPr>
        <w:t>32</w:t>
      </w:r>
      <w:r w:rsidRPr="00236D70">
        <w:rPr>
          <w:rFonts w:ascii="Arial" w:hAnsi="Arial"/>
          <w:b/>
          <w:color w:val="000000" w:themeColor="text1"/>
          <w:lang w:val="it-IT"/>
        </w:rPr>
        <w:t>%</w:t>
      </w:r>
      <w:r>
        <w:rPr>
          <w:rFonts w:ascii="Arial" w:hAnsi="Arial"/>
          <w:b/>
          <w:color w:val="000000" w:themeColor="text1"/>
          <w:lang w:val="it-IT"/>
        </w:rPr>
        <w:t xml:space="preserve"> NEI PAZIENTI OPERATI</w:t>
      </w:r>
    </w:p>
    <w:p w14:paraId="5FCE2A11" w14:textId="77777777" w:rsidR="00E24EF9" w:rsidRDefault="00E24EF9" w:rsidP="001E7CA7">
      <w:pPr>
        <w:rPr>
          <w:rFonts w:ascii="Arial" w:hAnsi="Arial" w:cs="Arial"/>
          <w:b/>
          <w:bCs/>
          <w:sz w:val="22"/>
          <w:szCs w:val="22"/>
          <w:lang w:val="it-IT"/>
        </w:rPr>
      </w:pPr>
    </w:p>
    <w:p w14:paraId="7CCCF192" w14:textId="0F88A4B7" w:rsidR="00E24EF9" w:rsidRPr="00125E67" w:rsidRDefault="00E24EF9" w:rsidP="00A46FFF">
      <w:pPr>
        <w:jc w:val="center"/>
        <w:rPr>
          <w:rFonts w:ascii="Arial" w:hAnsi="Arial" w:cs="Arial"/>
          <w:b/>
          <w:bCs/>
          <w:sz w:val="22"/>
          <w:szCs w:val="22"/>
          <w:lang w:val="it-IT"/>
        </w:rPr>
      </w:pPr>
      <w:r w:rsidRPr="002E76B2">
        <w:rPr>
          <w:rFonts w:ascii="Arial" w:eastAsia="Times New Roman" w:hAnsi="Arial" w:cs="Arial"/>
          <w:b/>
          <w:bCs/>
          <w:sz w:val="22"/>
          <w:szCs w:val="22"/>
          <w:lang w:val="it-IT" w:eastAsia="it-IT"/>
        </w:rPr>
        <w:t>Sergio Bracarda, Direttore Dipartimento Oncologico e Struttura Complessa Oncologia Medica e Traslazionale Azienda Ospedaliera Santa Maria di Terni: “</w:t>
      </w:r>
      <w:r w:rsidR="000F6771" w:rsidRPr="002E76B2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>A</w:t>
      </w:r>
      <w:r w:rsidR="00F206C6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>d</w:t>
      </w:r>
      <w:r w:rsidRPr="002E76B2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 xml:space="preserve"> oggi per questi pazienti, </w:t>
      </w:r>
      <w:r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>dopo l’intervento, non ci sono opzioni</w:t>
      </w:r>
      <w:r w:rsidR="000F6771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 xml:space="preserve"> </w:t>
      </w:r>
      <w:r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>disponibili se non l’attenta osservazione</w:t>
      </w:r>
      <w:r w:rsidR="000F6771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 xml:space="preserve">. </w:t>
      </w:r>
      <w:r w:rsidR="00F206C6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 xml:space="preserve"> Finalmente, l</w:t>
      </w:r>
      <w:r w:rsidR="000F6771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>’immunoterapia con pembrolizumab, che ha già ottenuto risultati importanti nella malattia avanzata, apre</w:t>
      </w:r>
      <w:r w:rsidR="00F206C6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 xml:space="preserve"> nuove </w:t>
      </w:r>
      <w:r w:rsidR="000F6771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 xml:space="preserve">prospettive </w:t>
      </w:r>
      <w:r w:rsidR="00F206C6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 xml:space="preserve">di trattamento </w:t>
      </w:r>
      <w:r w:rsidR="007B3BB1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 xml:space="preserve">anche </w:t>
      </w:r>
      <w:r w:rsidR="000F6771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>in una fase più precoce</w:t>
      </w:r>
      <w:r w:rsidR="00F206C6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 xml:space="preserve"> di malattia</w:t>
      </w:r>
      <w:r w:rsidR="000F6771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 xml:space="preserve">, </w:t>
      </w:r>
      <w:r w:rsidR="00F206C6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 xml:space="preserve">ovvero subito </w:t>
      </w:r>
      <w:r w:rsidR="00CD136D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>dopo</w:t>
      </w:r>
      <w:r w:rsidR="00F206C6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 xml:space="preserve"> </w:t>
      </w:r>
      <w:r w:rsidR="00CD136D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>l</w:t>
      </w:r>
      <w:r w:rsidR="000F6771" w:rsidRPr="00125E67">
        <w:rPr>
          <w:rFonts w:ascii="Arial" w:hAnsi="Arial" w:cs="Arial"/>
          <w:b/>
          <w:bCs/>
          <w:sz w:val="22"/>
          <w:szCs w:val="22"/>
          <w:shd w:val="clear" w:color="auto" w:fill="FFFFFF"/>
          <w:lang w:val="it-IT"/>
        </w:rPr>
        <w:t>a chirurgia”</w:t>
      </w:r>
    </w:p>
    <w:p w14:paraId="3C437D1D" w14:textId="77777777" w:rsidR="00E24EF9" w:rsidRPr="00125E67" w:rsidRDefault="00E24EF9" w:rsidP="00A46FFF">
      <w:pPr>
        <w:jc w:val="center"/>
        <w:rPr>
          <w:rFonts w:ascii="Arial" w:hAnsi="Arial" w:cs="Arial"/>
          <w:b/>
          <w:bCs/>
          <w:sz w:val="22"/>
          <w:szCs w:val="22"/>
          <w:lang w:val="it-IT"/>
        </w:rPr>
      </w:pPr>
    </w:p>
    <w:p w14:paraId="697762EA" w14:textId="60AF2926" w:rsidR="00A46FFF" w:rsidRPr="00125E67" w:rsidRDefault="00A46FFF" w:rsidP="00A46FFF">
      <w:pPr>
        <w:jc w:val="center"/>
        <w:rPr>
          <w:rFonts w:ascii="Arial" w:hAnsi="Arial" w:cs="Arial"/>
          <w:b/>
          <w:bCs/>
          <w:sz w:val="22"/>
          <w:szCs w:val="22"/>
          <w:lang w:val="it-IT"/>
        </w:rPr>
      </w:pPr>
      <w:r w:rsidRPr="00125E67">
        <w:rPr>
          <w:rFonts w:ascii="Arial" w:hAnsi="Arial" w:cs="Arial"/>
          <w:b/>
          <w:bCs/>
          <w:sz w:val="22"/>
          <w:szCs w:val="22"/>
          <w:lang w:val="it-IT"/>
        </w:rPr>
        <w:t xml:space="preserve">KEYNOTE-564 è il primo studio di fase 3 a mostrare </w:t>
      </w:r>
      <w:r w:rsidR="00F206C6" w:rsidRPr="00125E67">
        <w:rPr>
          <w:rFonts w:ascii="Arial" w:hAnsi="Arial" w:cs="Arial"/>
          <w:b/>
          <w:bCs/>
          <w:sz w:val="22"/>
          <w:szCs w:val="22"/>
          <w:lang w:val="it-IT"/>
        </w:rPr>
        <w:t xml:space="preserve">dati interessanti ed innovativi, attesi da tempo, </w:t>
      </w:r>
      <w:r w:rsidR="00F211F5" w:rsidRPr="00125E67">
        <w:rPr>
          <w:rFonts w:ascii="Arial" w:hAnsi="Arial" w:cs="Arial"/>
          <w:b/>
          <w:bCs/>
          <w:sz w:val="22"/>
          <w:szCs w:val="22"/>
          <w:lang w:val="it-IT"/>
        </w:rPr>
        <w:t>sul</w:t>
      </w:r>
      <w:r w:rsidRPr="00125E67">
        <w:rPr>
          <w:rFonts w:ascii="Arial" w:hAnsi="Arial" w:cs="Arial"/>
          <w:b/>
          <w:bCs/>
          <w:sz w:val="22"/>
          <w:szCs w:val="22"/>
          <w:lang w:val="it-IT"/>
        </w:rPr>
        <w:t xml:space="preserve">l'immunoterapia adiuvante del </w:t>
      </w:r>
      <w:r w:rsidR="005E220E" w:rsidRPr="00125E67">
        <w:rPr>
          <w:rFonts w:ascii="Arial" w:hAnsi="Arial" w:cs="Arial"/>
          <w:b/>
          <w:bCs/>
          <w:sz w:val="22"/>
          <w:szCs w:val="22"/>
          <w:lang w:val="it-IT"/>
        </w:rPr>
        <w:t>carcinoma a cellule renali (</w:t>
      </w:r>
      <w:r w:rsidRPr="00125E67">
        <w:rPr>
          <w:rFonts w:ascii="Arial" w:hAnsi="Arial" w:cs="Arial"/>
          <w:b/>
          <w:bCs/>
          <w:sz w:val="22"/>
          <w:szCs w:val="22"/>
          <w:lang w:val="it-IT"/>
        </w:rPr>
        <w:t>RCC</w:t>
      </w:r>
      <w:r w:rsidR="005E220E" w:rsidRPr="00125E67">
        <w:rPr>
          <w:rFonts w:ascii="Arial" w:hAnsi="Arial" w:cs="Arial"/>
          <w:b/>
          <w:bCs/>
          <w:sz w:val="22"/>
          <w:szCs w:val="22"/>
          <w:lang w:val="it-IT"/>
        </w:rPr>
        <w:t>)</w:t>
      </w:r>
      <w:r w:rsidR="003A5B00" w:rsidRPr="00125E67">
        <w:rPr>
          <w:rFonts w:ascii="Arial" w:hAnsi="Arial" w:cs="Arial"/>
          <w:b/>
          <w:bCs/>
          <w:sz w:val="22"/>
          <w:szCs w:val="22"/>
          <w:lang w:val="it-IT"/>
        </w:rPr>
        <w:t>.</w:t>
      </w:r>
      <w:r w:rsidR="00F206C6" w:rsidRPr="00125E67">
        <w:rPr>
          <w:rFonts w:ascii="Arial" w:hAnsi="Arial" w:cs="Arial"/>
          <w:b/>
          <w:bCs/>
          <w:sz w:val="22"/>
          <w:szCs w:val="22"/>
          <w:lang w:val="it-IT"/>
        </w:rPr>
        <w:t xml:space="preserve"> </w:t>
      </w:r>
      <w:r w:rsidR="002E76B2" w:rsidRPr="00125E67">
        <w:rPr>
          <w:rFonts w:ascii="Arial" w:hAnsi="Arial" w:cs="Arial"/>
          <w:b/>
          <w:bCs/>
          <w:sz w:val="22"/>
          <w:szCs w:val="22"/>
          <w:lang w:val="it-IT"/>
        </w:rPr>
        <w:t>Durante la p</w:t>
      </w:r>
      <w:r w:rsidR="00F206C6" w:rsidRPr="00125E67">
        <w:rPr>
          <w:rFonts w:ascii="Arial" w:hAnsi="Arial" w:cs="Arial"/>
          <w:b/>
          <w:bCs/>
          <w:sz w:val="22"/>
          <w:szCs w:val="22"/>
          <w:lang w:val="it-IT"/>
        </w:rPr>
        <w:t>lenaria del congresso mondiale ASCO 2021 sono stati presentati</w:t>
      </w:r>
      <w:r w:rsidR="003A5B00" w:rsidRPr="00125E67">
        <w:rPr>
          <w:rFonts w:ascii="Arial" w:hAnsi="Arial" w:cs="Arial"/>
          <w:b/>
          <w:bCs/>
          <w:sz w:val="22"/>
          <w:szCs w:val="22"/>
          <w:lang w:val="it-IT"/>
        </w:rPr>
        <w:t xml:space="preserve"> i</w:t>
      </w:r>
      <w:r w:rsidR="002E76B2" w:rsidRPr="00125E67">
        <w:rPr>
          <w:rFonts w:ascii="Arial" w:hAnsi="Arial" w:cs="Arial"/>
          <w:b/>
          <w:bCs/>
          <w:sz w:val="22"/>
          <w:szCs w:val="22"/>
          <w:lang w:val="it-IT"/>
        </w:rPr>
        <w:t xml:space="preserve"> </w:t>
      </w:r>
      <w:r w:rsidR="004B1BFE" w:rsidRPr="00125E67">
        <w:rPr>
          <w:rFonts w:ascii="Arial" w:hAnsi="Arial" w:cs="Arial"/>
          <w:b/>
          <w:bCs/>
          <w:sz w:val="22"/>
          <w:szCs w:val="22"/>
          <w:lang w:val="it-IT"/>
        </w:rPr>
        <w:t xml:space="preserve">risultati </w:t>
      </w:r>
      <w:r w:rsidR="005244A3" w:rsidRPr="00125E67">
        <w:rPr>
          <w:rFonts w:ascii="Arial" w:hAnsi="Arial" w:cs="Arial"/>
          <w:b/>
          <w:bCs/>
          <w:sz w:val="22"/>
          <w:szCs w:val="22"/>
          <w:lang w:val="it-IT"/>
        </w:rPr>
        <w:t>di</w:t>
      </w:r>
      <w:r w:rsidR="004B1BFE" w:rsidRPr="00125E67">
        <w:rPr>
          <w:rFonts w:ascii="Arial" w:hAnsi="Arial" w:cs="Arial"/>
          <w:b/>
          <w:bCs/>
          <w:sz w:val="22"/>
          <w:szCs w:val="22"/>
          <w:lang w:val="it-IT"/>
        </w:rPr>
        <w:t xml:space="preserve"> </w:t>
      </w:r>
      <w:r w:rsidRPr="00125E67">
        <w:rPr>
          <w:rFonts w:ascii="Arial" w:hAnsi="Arial" w:cs="Arial"/>
          <w:b/>
          <w:bCs/>
          <w:sz w:val="22"/>
          <w:szCs w:val="22"/>
          <w:lang w:val="it-IT"/>
        </w:rPr>
        <w:t xml:space="preserve">sopravvivenza libera da malattia </w:t>
      </w:r>
      <w:r w:rsidR="004B1BFE" w:rsidRPr="00125E67">
        <w:rPr>
          <w:rFonts w:ascii="Arial" w:hAnsi="Arial" w:cs="Arial"/>
          <w:b/>
          <w:bCs/>
          <w:sz w:val="22"/>
          <w:szCs w:val="22"/>
          <w:lang w:val="it-IT"/>
        </w:rPr>
        <w:t>in questo setting tumorale</w:t>
      </w:r>
    </w:p>
    <w:p w14:paraId="241AA2D2" w14:textId="77777777" w:rsidR="00A46FFF" w:rsidRPr="00125E67" w:rsidRDefault="00A46FFF" w:rsidP="00904273">
      <w:pPr>
        <w:jc w:val="center"/>
        <w:rPr>
          <w:rFonts w:ascii="Arial" w:hAnsi="Arial" w:cs="Arial"/>
          <w:b/>
          <w:bCs/>
          <w:sz w:val="22"/>
          <w:szCs w:val="22"/>
          <w:lang w:val="it-IT"/>
        </w:rPr>
      </w:pPr>
    </w:p>
    <w:p w14:paraId="2CE516C6" w14:textId="77777777" w:rsidR="00A46FFF" w:rsidRPr="00125E67" w:rsidRDefault="00A46FFF" w:rsidP="00904273">
      <w:pPr>
        <w:jc w:val="center"/>
        <w:rPr>
          <w:rFonts w:ascii="Arial" w:hAnsi="Arial" w:cs="Arial"/>
          <w:b/>
          <w:sz w:val="22"/>
          <w:szCs w:val="22"/>
          <w:lang w:val="it-IT"/>
        </w:rPr>
      </w:pPr>
    </w:p>
    <w:p w14:paraId="6BA78484" w14:textId="77777777" w:rsidR="00A46FFF" w:rsidRPr="00125E67" w:rsidRDefault="00A46FFF" w:rsidP="00904273">
      <w:pPr>
        <w:jc w:val="center"/>
        <w:rPr>
          <w:rFonts w:ascii="Arial" w:hAnsi="Arial" w:cs="Arial"/>
          <w:b/>
          <w:sz w:val="22"/>
          <w:szCs w:val="22"/>
          <w:lang w:val="it-IT"/>
        </w:rPr>
      </w:pPr>
    </w:p>
    <w:p w14:paraId="1493ACF3" w14:textId="5DD5D8D5" w:rsidR="006C438A" w:rsidRPr="00125E67" w:rsidRDefault="00A43E09" w:rsidP="00E24EF9">
      <w:pPr>
        <w:pStyle w:val="Testocommento"/>
        <w:spacing w:line="360" w:lineRule="auto"/>
        <w:ind w:firstLine="709"/>
        <w:jc w:val="both"/>
        <w:rPr>
          <w:rFonts w:ascii="Arial" w:hAnsi="Arial" w:cs="Arial"/>
          <w:sz w:val="22"/>
          <w:szCs w:val="22"/>
          <w:lang w:val="it-IT"/>
        </w:rPr>
      </w:pPr>
      <w:r w:rsidRPr="00125E67">
        <w:rPr>
          <w:rFonts w:ascii="Arial" w:hAnsi="Arial" w:cs="Arial"/>
          <w:sz w:val="22"/>
          <w:szCs w:val="22"/>
          <w:lang w:val="it-IT"/>
        </w:rPr>
        <w:t>KENILWORTH</w:t>
      </w:r>
      <w:r w:rsidR="00745823" w:rsidRPr="00125E67">
        <w:rPr>
          <w:rFonts w:ascii="Arial" w:hAnsi="Arial" w:cs="Arial"/>
          <w:sz w:val="22"/>
          <w:szCs w:val="22"/>
          <w:lang w:val="it-IT"/>
        </w:rPr>
        <w:t>, N.J.,</w:t>
      </w:r>
      <w:r w:rsidR="00F651F3" w:rsidRPr="00125E67">
        <w:rPr>
          <w:rFonts w:ascii="Arial" w:hAnsi="Arial" w:cs="Arial"/>
          <w:sz w:val="22"/>
          <w:szCs w:val="22"/>
          <w:lang w:val="it-IT"/>
        </w:rPr>
        <w:t xml:space="preserve"> </w:t>
      </w:r>
      <w:r w:rsidR="00236D70" w:rsidRPr="00125E67">
        <w:rPr>
          <w:rFonts w:ascii="Arial" w:hAnsi="Arial" w:cs="Arial"/>
          <w:sz w:val="22"/>
          <w:szCs w:val="22"/>
          <w:lang w:val="it-IT"/>
        </w:rPr>
        <w:t>7</w:t>
      </w:r>
      <w:r w:rsidR="00745823" w:rsidRPr="00125E67">
        <w:rPr>
          <w:rFonts w:ascii="Arial" w:hAnsi="Arial" w:cs="Arial"/>
          <w:sz w:val="22"/>
          <w:szCs w:val="22"/>
          <w:lang w:val="it-IT"/>
        </w:rPr>
        <w:t xml:space="preserve"> </w:t>
      </w:r>
      <w:r w:rsidR="00F651F3" w:rsidRPr="00125E67">
        <w:rPr>
          <w:rFonts w:ascii="Arial" w:hAnsi="Arial" w:cs="Arial"/>
          <w:sz w:val="22"/>
          <w:szCs w:val="22"/>
          <w:lang w:val="it-IT"/>
        </w:rPr>
        <w:t>giugno</w:t>
      </w:r>
      <w:r w:rsidR="001A0192" w:rsidRPr="00125E67">
        <w:rPr>
          <w:rFonts w:ascii="Arial" w:hAnsi="Arial" w:cs="Arial"/>
          <w:sz w:val="22"/>
          <w:szCs w:val="22"/>
          <w:lang w:val="it-IT"/>
        </w:rPr>
        <w:t xml:space="preserve"> 2</w:t>
      </w:r>
      <w:r w:rsidR="00745823" w:rsidRPr="00125E67">
        <w:rPr>
          <w:rFonts w:ascii="Arial" w:hAnsi="Arial" w:cs="Arial"/>
          <w:sz w:val="22"/>
          <w:szCs w:val="22"/>
          <w:lang w:val="it-IT"/>
        </w:rPr>
        <w:t>0</w:t>
      </w:r>
      <w:r w:rsidR="002D1731" w:rsidRPr="00125E67">
        <w:rPr>
          <w:rFonts w:ascii="Arial" w:hAnsi="Arial" w:cs="Arial"/>
          <w:sz w:val="22"/>
          <w:szCs w:val="22"/>
          <w:lang w:val="it-IT"/>
        </w:rPr>
        <w:t>2</w:t>
      </w:r>
      <w:r w:rsidR="003555CE" w:rsidRPr="00125E67">
        <w:rPr>
          <w:rFonts w:ascii="Arial" w:hAnsi="Arial" w:cs="Arial"/>
          <w:sz w:val="22"/>
          <w:szCs w:val="22"/>
          <w:lang w:val="it-IT"/>
        </w:rPr>
        <w:t>1</w:t>
      </w:r>
      <w:r w:rsidR="00745823" w:rsidRPr="00125E67">
        <w:rPr>
          <w:rFonts w:ascii="Arial" w:hAnsi="Arial" w:cs="Arial"/>
          <w:sz w:val="22"/>
          <w:szCs w:val="22"/>
          <w:lang w:val="it-IT"/>
        </w:rPr>
        <w:t xml:space="preserve"> – </w:t>
      </w:r>
      <w:r w:rsidR="009657BE" w:rsidRPr="00125E67">
        <w:rPr>
          <w:rFonts w:ascii="Arial" w:hAnsi="Arial" w:cs="Arial"/>
          <w:sz w:val="22"/>
          <w:szCs w:val="22"/>
          <w:lang w:val="it-IT"/>
        </w:rPr>
        <w:t xml:space="preserve">Per la prima volta l’immunoterapia, somministrata dopo la chirurgia, ha dimostrato di ridurre in modo significativo il rischio di recidiva e di morte nel tumore del rene. Lo evidenziano i risultati dello </w:t>
      </w:r>
      <w:r w:rsidR="006C438A" w:rsidRPr="00125E67">
        <w:rPr>
          <w:rFonts w:ascii="Arial" w:hAnsi="Arial" w:cs="Arial"/>
          <w:sz w:val="22"/>
          <w:szCs w:val="22"/>
          <w:lang w:val="it-IT"/>
        </w:rPr>
        <w:t>studio di fase 3 KEYNOTE-564 che ha valutato pembrolizumab, terapia anti-PD-1</w:t>
      </w:r>
      <w:r w:rsidR="009657BE" w:rsidRPr="00125E67">
        <w:rPr>
          <w:rFonts w:ascii="Arial" w:hAnsi="Arial" w:cs="Arial"/>
          <w:sz w:val="22"/>
          <w:szCs w:val="22"/>
          <w:lang w:val="it-IT"/>
        </w:rPr>
        <w:t xml:space="preserve"> di MSD</w:t>
      </w:r>
      <w:r w:rsidR="006C438A" w:rsidRPr="00125E67">
        <w:rPr>
          <w:rFonts w:ascii="Arial" w:hAnsi="Arial" w:cs="Arial"/>
          <w:sz w:val="22"/>
          <w:szCs w:val="22"/>
          <w:lang w:val="it-IT"/>
        </w:rPr>
        <w:t xml:space="preserve">, </w:t>
      </w:r>
      <w:r w:rsidR="00F211F5" w:rsidRPr="00125E67">
        <w:rPr>
          <w:rFonts w:ascii="Arial" w:hAnsi="Arial" w:cs="Arial"/>
          <w:sz w:val="22"/>
          <w:szCs w:val="22"/>
          <w:lang w:val="it-IT"/>
        </w:rPr>
        <w:t>come</w:t>
      </w:r>
      <w:r w:rsidR="006C438A" w:rsidRPr="00125E67">
        <w:rPr>
          <w:rFonts w:ascii="Arial" w:hAnsi="Arial" w:cs="Arial"/>
          <w:sz w:val="22"/>
          <w:szCs w:val="22"/>
          <w:lang w:val="it-IT"/>
        </w:rPr>
        <w:t xml:space="preserve"> potenziale trattamento </w:t>
      </w:r>
      <w:r w:rsidR="00E26E5F" w:rsidRPr="00125E67">
        <w:rPr>
          <w:rFonts w:ascii="Arial" w:hAnsi="Arial" w:cs="Arial"/>
          <w:sz w:val="22"/>
          <w:szCs w:val="22"/>
          <w:lang w:val="it-IT"/>
        </w:rPr>
        <w:t xml:space="preserve">adiuvante </w:t>
      </w:r>
      <w:r w:rsidR="001F6B5A" w:rsidRPr="00125E67">
        <w:rPr>
          <w:rFonts w:ascii="Arial" w:hAnsi="Arial" w:cs="Arial"/>
          <w:sz w:val="22"/>
          <w:szCs w:val="22"/>
          <w:lang w:val="it-IT"/>
        </w:rPr>
        <w:t>nei</w:t>
      </w:r>
      <w:r w:rsidR="006C438A" w:rsidRPr="00125E67">
        <w:rPr>
          <w:rFonts w:ascii="Arial" w:hAnsi="Arial" w:cs="Arial"/>
          <w:sz w:val="22"/>
          <w:szCs w:val="22"/>
          <w:lang w:val="it-IT"/>
        </w:rPr>
        <w:t xml:space="preserve"> pazienti con carcinoma a cellule renali (RCC) a rischio intermedio-alto o alto di recidiva dopo nefrectomia (rimozione chirurgica di un rene) o dopo nefrectomia e resezione delle lesioni metastatiche. </w:t>
      </w:r>
      <w:r w:rsidR="002E3BCB" w:rsidRPr="00125E67">
        <w:rPr>
          <w:rFonts w:ascii="Arial" w:hAnsi="Arial" w:cs="Arial"/>
          <w:sz w:val="22"/>
          <w:szCs w:val="22"/>
          <w:lang w:val="it-IT"/>
        </w:rPr>
        <w:t xml:space="preserve">Ad un </w:t>
      </w:r>
      <w:r w:rsidR="006C438A" w:rsidRPr="00125E67">
        <w:rPr>
          <w:rFonts w:ascii="Arial" w:hAnsi="Arial" w:cs="Arial"/>
          <w:sz w:val="22"/>
          <w:szCs w:val="22"/>
          <w:lang w:val="it-IT"/>
        </w:rPr>
        <w:t>follow-up mediano di</w:t>
      </w:r>
      <w:r w:rsidR="00236D70" w:rsidRPr="00125E67">
        <w:rPr>
          <w:rFonts w:ascii="Arial" w:hAnsi="Arial" w:cs="Arial"/>
          <w:sz w:val="22"/>
          <w:szCs w:val="22"/>
          <w:lang w:val="it-IT"/>
        </w:rPr>
        <w:t xml:space="preserve"> 24,1</w:t>
      </w:r>
      <w:r w:rsidR="006C438A" w:rsidRPr="00125E67">
        <w:rPr>
          <w:rFonts w:ascii="Arial" w:hAnsi="Arial" w:cs="Arial"/>
          <w:sz w:val="22"/>
          <w:szCs w:val="22"/>
          <w:lang w:val="it-IT"/>
        </w:rPr>
        <w:t xml:space="preserve"> mesi (intervallo:</w:t>
      </w:r>
      <w:r w:rsidR="00236D70" w:rsidRPr="00125E67">
        <w:rPr>
          <w:lang w:val="it-IT"/>
        </w:rPr>
        <w:t xml:space="preserve"> </w:t>
      </w:r>
      <w:r w:rsidR="00236D70" w:rsidRPr="00125E67">
        <w:rPr>
          <w:rFonts w:ascii="Arial" w:hAnsi="Arial" w:cs="Arial"/>
          <w:sz w:val="22"/>
          <w:szCs w:val="22"/>
          <w:lang w:val="it-IT"/>
        </w:rPr>
        <w:t>14,9-41,5)</w:t>
      </w:r>
      <w:r w:rsidR="006C438A" w:rsidRPr="00125E67">
        <w:rPr>
          <w:rFonts w:ascii="Arial" w:hAnsi="Arial" w:cs="Arial"/>
          <w:sz w:val="22"/>
          <w:szCs w:val="22"/>
          <w:lang w:val="it-IT"/>
        </w:rPr>
        <w:t xml:space="preserve">, </w:t>
      </w:r>
      <w:r w:rsidR="002E76B2" w:rsidRPr="00125E67">
        <w:rPr>
          <w:rFonts w:ascii="Arial" w:hAnsi="Arial" w:cs="Arial"/>
          <w:sz w:val="22"/>
          <w:szCs w:val="22"/>
          <w:lang w:val="it-IT"/>
        </w:rPr>
        <w:t>p</w:t>
      </w:r>
      <w:r w:rsidR="006C438A" w:rsidRPr="00125E67">
        <w:rPr>
          <w:rFonts w:ascii="Arial" w:hAnsi="Arial" w:cs="Arial"/>
          <w:sz w:val="22"/>
          <w:szCs w:val="22"/>
          <w:lang w:val="it-IT"/>
        </w:rPr>
        <w:t xml:space="preserve">embrolizumab ha dimostrato una riduzione statisticamente significativa e clinicamente </w:t>
      </w:r>
      <w:r w:rsidR="00E26E5F" w:rsidRPr="00125E67">
        <w:rPr>
          <w:rFonts w:ascii="Arial" w:hAnsi="Arial" w:cs="Arial"/>
          <w:sz w:val="22"/>
          <w:szCs w:val="22"/>
          <w:lang w:val="it-IT"/>
        </w:rPr>
        <w:t>rilevante</w:t>
      </w:r>
      <w:r w:rsidR="006C438A" w:rsidRPr="00125E67">
        <w:rPr>
          <w:rFonts w:ascii="Arial" w:hAnsi="Arial" w:cs="Arial"/>
          <w:sz w:val="22"/>
          <w:szCs w:val="22"/>
          <w:lang w:val="it-IT"/>
        </w:rPr>
        <w:t xml:space="preserve"> del rischio di recidiva di malattia o </w:t>
      </w:r>
      <w:r w:rsidR="00E26E5F" w:rsidRPr="00125E67">
        <w:rPr>
          <w:rFonts w:ascii="Arial" w:hAnsi="Arial" w:cs="Arial"/>
          <w:sz w:val="22"/>
          <w:szCs w:val="22"/>
          <w:lang w:val="it-IT"/>
        </w:rPr>
        <w:t xml:space="preserve">di </w:t>
      </w:r>
      <w:r w:rsidR="006C438A" w:rsidRPr="00125E67">
        <w:rPr>
          <w:rFonts w:ascii="Arial" w:hAnsi="Arial" w:cs="Arial"/>
          <w:sz w:val="22"/>
          <w:szCs w:val="22"/>
          <w:lang w:val="it-IT"/>
        </w:rPr>
        <w:t>morte del</w:t>
      </w:r>
      <w:r w:rsidR="00236D70" w:rsidRPr="00125E67">
        <w:rPr>
          <w:rFonts w:ascii="Arial" w:hAnsi="Arial" w:cs="Arial"/>
          <w:sz w:val="22"/>
          <w:szCs w:val="22"/>
          <w:lang w:val="it-IT"/>
        </w:rPr>
        <w:t xml:space="preserve"> 32% </w:t>
      </w:r>
      <w:r w:rsidR="006C438A" w:rsidRPr="00125E67">
        <w:rPr>
          <w:rFonts w:ascii="Arial" w:hAnsi="Arial" w:cs="Arial"/>
          <w:sz w:val="22"/>
          <w:szCs w:val="22"/>
          <w:lang w:val="it-IT"/>
        </w:rPr>
        <w:t>rispetto al placebo</w:t>
      </w:r>
      <w:r w:rsidR="00012474" w:rsidRPr="00125E67">
        <w:rPr>
          <w:rFonts w:ascii="Arial" w:hAnsi="Arial" w:cs="Arial"/>
          <w:sz w:val="22"/>
          <w:szCs w:val="22"/>
          <w:lang w:val="it-IT"/>
        </w:rPr>
        <w:t xml:space="preserve"> </w:t>
      </w:r>
      <w:r w:rsidR="006C438A" w:rsidRPr="00125E67">
        <w:rPr>
          <w:rFonts w:ascii="Arial" w:hAnsi="Arial" w:cs="Arial"/>
          <w:sz w:val="22"/>
          <w:szCs w:val="22"/>
          <w:lang w:val="it-IT"/>
        </w:rPr>
        <w:t>(</w:t>
      </w:r>
      <w:r w:rsidR="00236D70" w:rsidRPr="00125E67">
        <w:rPr>
          <w:rFonts w:ascii="Arial" w:hAnsi="Arial" w:cs="Arial"/>
          <w:sz w:val="22"/>
          <w:szCs w:val="22"/>
          <w:lang w:val="it-IT"/>
        </w:rPr>
        <w:t>HR=0,68 [IC 95%, 0,53–0,87]; p=0,0010</w:t>
      </w:r>
      <w:r w:rsidR="006C438A" w:rsidRPr="00125E67">
        <w:rPr>
          <w:rFonts w:ascii="Arial" w:hAnsi="Arial" w:cs="Arial"/>
          <w:sz w:val="22"/>
          <w:szCs w:val="22"/>
          <w:lang w:val="it-IT"/>
        </w:rPr>
        <w:t xml:space="preserve">). </w:t>
      </w:r>
      <w:r w:rsidR="00302C5F">
        <w:rPr>
          <w:rFonts w:ascii="Arial" w:hAnsi="Arial" w:cs="Arial"/>
          <w:sz w:val="22"/>
          <w:szCs w:val="22"/>
          <w:lang w:val="it-IT"/>
        </w:rPr>
        <w:t>È</w:t>
      </w:r>
      <w:r w:rsidR="004B1BFE" w:rsidRPr="00125E67">
        <w:rPr>
          <w:rFonts w:ascii="Arial" w:hAnsi="Arial" w:cs="Arial"/>
          <w:sz w:val="22"/>
          <w:szCs w:val="22"/>
          <w:lang w:val="it-IT"/>
        </w:rPr>
        <w:t xml:space="preserve"> stato inoltre osservato</w:t>
      </w:r>
      <w:r w:rsidR="006C438A" w:rsidRPr="00125E67">
        <w:rPr>
          <w:rFonts w:ascii="Arial" w:hAnsi="Arial" w:cs="Arial"/>
          <w:sz w:val="22"/>
          <w:szCs w:val="22"/>
          <w:lang w:val="it-IT"/>
        </w:rPr>
        <w:t xml:space="preserve"> </w:t>
      </w:r>
      <w:r w:rsidR="00236D70" w:rsidRPr="00125E67">
        <w:rPr>
          <w:rFonts w:ascii="Arial" w:hAnsi="Arial" w:cs="Arial"/>
          <w:sz w:val="22"/>
          <w:szCs w:val="22"/>
          <w:lang w:val="it-IT"/>
        </w:rPr>
        <w:t>un trend favorevole</w:t>
      </w:r>
      <w:r w:rsidR="002E76B2" w:rsidRPr="00125E67">
        <w:rPr>
          <w:rFonts w:ascii="Arial" w:hAnsi="Arial" w:cs="Arial"/>
          <w:sz w:val="22"/>
          <w:szCs w:val="22"/>
          <w:lang w:val="it-IT"/>
        </w:rPr>
        <w:t xml:space="preserve"> in</w:t>
      </w:r>
      <w:r w:rsidR="00236D70" w:rsidRPr="00125E67">
        <w:rPr>
          <w:rFonts w:ascii="Arial" w:hAnsi="Arial" w:cs="Arial"/>
          <w:sz w:val="22"/>
          <w:szCs w:val="22"/>
          <w:lang w:val="it-IT"/>
        </w:rPr>
        <w:t xml:space="preserve"> sopravvivenza globale con una riduzione del 46% del rischio di morte con </w:t>
      </w:r>
      <w:r w:rsidR="003A5B00" w:rsidRPr="00125E67">
        <w:rPr>
          <w:rFonts w:ascii="Arial" w:hAnsi="Arial" w:cs="Arial"/>
          <w:sz w:val="22"/>
          <w:szCs w:val="22"/>
          <w:lang w:val="it-IT"/>
        </w:rPr>
        <w:t>p</w:t>
      </w:r>
      <w:r w:rsidR="00236D70" w:rsidRPr="00125E67">
        <w:rPr>
          <w:rFonts w:ascii="Arial" w:hAnsi="Arial" w:cs="Arial"/>
          <w:sz w:val="22"/>
          <w:szCs w:val="22"/>
          <w:lang w:val="it-IT"/>
        </w:rPr>
        <w:t xml:space="preserve">embrolizumab rispetto a placebo (HR=0,54 [IC 95%, 0,30–0,96]; p=0,0164). </w:t>
      </w:r>
      <w:r w:rsidR="006C438A" w:rsidRPr="00125E67">
        <w:rPr>
          <w:rFonts w:ascii="Arial" w:hAnsi="Arial" w:cs="Arial"/>
          <w:sz w:val="22"/>
          <w:szCs w:val="22"/>
          <w:lang w:val="it-IT"/>
        </w:rPr>
        <w:t xml:space="preserve">Come precedentemente </w:t>
      </w:r>
      <w:hyperlink r:id="rId13" w:history="1">
        <w:r w:rsidR="006C438A" w:rsidRPr="00125E67">
          <w:rPr>
            <w:rStyle w:val="Collegamentoipertestuale"/>
            <w:rFonts w:ascii="Arial" w:hAnsi="Arial" w:cs="Arial"/>
            <w:sz w:val="22"/>
            <w:szCs w:val="22"/>
            <w:lang w:val="it-IT"/>
          </w:rPr>
          <w:t>annunciato</w:t>
        </w:r>
      </w:hyperlink>
      <w:r w:rsidR="006C438A" w:rsidRPr="00125E67">
        <w:rPr>
          <w:rFonts w:ascii="Arial" w:hAnsi="Arial" w:cs="Arial"/>
          <w:sz w:val="22"/>
          <w:szCs w:val="22"/>
          <w:lang w:val="it-IT"/>
        </w:rPr>
        <w:t xml:space="preserve">, lo studio proseguirà per valutare la </w:t>
      </w:r>
      <w:r w:rsidR="0097703B" w:rsidRPr="00125E67">
        <w:rPr>
          <w:rFonts w:ascii="Arial" w:hAnsi="Arial" w:cs="Arial"/>
          <w:sz w:val="22"/>
          <w:szCs w:val="22"/>
          <w:lang w:val="it-IT"/>
        </w:rPr>
        <w:t>sopravvivenza globale (OS)</w:t>
      </w:r>
      <w:r w:rsidR="006C438A" w:rsidRPr="00125E67">
        <w:rPr>
          <w:rFonts w:ascii="Arial" w:hAnsi="Arial" w:cs="Arial"/>
          <w:sz w:val="22"/>
          <w:szCs w:val="22"/>
          <w:lang w:val="it-IT"/>
        </w:rPr>
        <w:t xml:space="preserve">, endpoint secondario chiave. </w:t>
      </w:r>
    </w:p>
    <w:p w14:paraId="77D80D65" w14:textId="6650D7B2" w:rsidR="00E24EF9" w:rsidRPr="002E76B2" w:rsidRDefault="00E24EF9" w:rsidP="00E24EF9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  <w:shd w:val="clear" w:color="auto" w:fill="FFFFFF"/>
          <w:lang w:val="it-IT"/>
        </w:rPr>
      </w:pP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“Per la prima volta un trattamento adiuvante,</w:t>
      </w:r>
      <w:r w:rsidR="003A5B00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</w:t>
      </w:r>
      <w:r w:rsidR="004B1BFE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ovvero 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successivo alla chirurgia,</w:t>
      </w:r>
      <w:r w:rsidR="004B1BFE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si 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è </w:t>
      </w:r>
      <w:r w:rsidR="004B1BFE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dimostrato 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efficace in pazienti colpiti da tumore del rene per prevenire le recidive – spiega </w:t>
      </w:r>
      <w:r w:rsidRPr="00125E67">
        <w:rPr>
          <w:rFonts w:ascii="Arial" w:eastAsia="Times New Roman" w:hAnsi="Arial" w:cs="Arial"/>
          <w:b/>
          <w:bCs/>
          <w:sz w:val="22"/>
          <w:szCs w:val="22"/>
          <w:lang w:val="it-IT" w:eastAsia="it-IT"/>
        </w:rPr>
        <w:t>Sergio Bracarda</w:t>
      </w:r>
      <w:bookmarkStart w:id="1" w:name="_Hlk73461520"/>
      <w:r w:rsidRPr="00125E67">
        <w:rPr>
          <w:rFonts w:ascii="Arial" w:eastAsia="Times New Roman" w:hAnsi="Arial" w:cs="Arial"/>
          <w:sz w:val="22"/>
          <w:szCs w:val="22"/>
          <w:lang w:val="it-IT" w:eastAsia="it-IT"/>
        </w:rPr>
        <w:t>,</w:t>
      </w:r>
      <w:r w:rsidRPr="00125E67">
        <w:rPr>
          <w:rFonts w:ascii="Arial" w:eastAsia="Times New Roman" w:hAnsi="Arial" w:cs="Arial"/>
          <w:b/>
          <w:bCs/>
          <w:sz w:val="22"/>
          <w:szCs w:val="22"/>
          <w:lang w:val="it-IT" w:eastAsia="it-IT"/>
        </w:rPr>
        <w:t xml:space="preserve"> </w:t>
      </w:r>
      <w:r w:rsidRPr="00125E67">
        <w:rPr>
          <w:rFonts w:ascii="Arial" w:eastAsia="Times New Roman" w:hAnsi="Arial" w:cs="Arial"/>
          <w:sz w:val="22"/>
          <w:szCs w:val="22"/>
          <w:lang w:val="it-IT" w:eastAsia="it-IT"/>
        </w:rPr>
        <w:t>Direttore del Dipartimento Oncologico e della Struttura Complessa di Oncologia Medica e Traslazionale dell’Azienda Ospedaliera Santa Maria di Terni</w:t>
      </w:r>
      <w:bookmarkEnd w:id="1"/>
      <w:r w:rsidRPr="00125E67">
        <w:rPr>
          <w:rFonts w:ascii="Arial" w:eastAsia="Times New Roman" w:hAnsi="Arial" w:cs="Arial"/>
          <w:sz w:val="22"/>
          <w:szCs w:val="22"/>
          <w:lang w:val="it-IT" w:eastAsia="it-IT"/>
        </w:rPr>
        <w:t xml:space="preserve"> -. </w:t>
      </w:r>
      <w:r w:rsidR="001E7CA7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Nel 2020, in Italia sono state stimate</w:t>
      </w:r>
      <w:r w:rsidR="00AB45E7" w:rsidRPr="00125E67">
        <w:rPr>
          <w:rFonts w:cstheme="minorHAnsi"/>
          <w:sz w:val="23"/>
          <w:szCs w:val="23"/>
          <w:lang w:val="it-IT"/>
        </w:rPr>
        <w:t xml:space="preserve"> </w:t>
      </w:r>
      <w:r w:rsidR="00AB45E7" w:rsidRPr="00125E67">
        <w:rPr>
          <w:rFonts w:ascii="Arial" w:hAnsi="Arial" w:cs="Arial"/>
          <w:sz w:val="22"/>
          <w:szCs w:val="22"/>
          <w:lang w:val="it-IT"/>
        </w:rPr>
        <w:t>13.520</w:t>
      </w:r>
      <w:r w:rsidR="001E7CA7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nuove diagnosi di tumore del rene. </w:t>
      </w:r>
      <w:bookmarkStart w:id="2" w:name="_Hlk73742801"/>
      <w:r w:rsidR="002E76B2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Complessivamente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la recidiva dopo la chirurgia interessa circa il 30% dei casi totali e </w:t>
      </w:r>
      <w:r w:rsidR="004B1BFE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questa percentuale è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ancora più alta </w:t>
      </w:r>
      <w:r w:rsidR="004B1BFE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se</w:t>
      </w:r>
      <w:r w:rsid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</w:t>
      </w:r>
      <w:r w:rsidR="004B1BFE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si </w:t>
      </w:r>
      <w:r w:rsidR="004B1BFE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lastRenderedPageBreak/>
        <w:t xml:space="preserve">prendono in esame </w:t>
      </w:r>
      <w:r w:rsidR="00CD16DF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esclusivamente </w:t>
      </w:r>
      <w:r w:rsid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casi classificati a 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rischio intermedio o alto. </w:t>
      </w:r>
      <w:r w:rsid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A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d oggi per questi pazienti,</w:t>
      </w:r>
      <w:r w:rsidR="00466096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dopo l’intervento, non ci sono opzioni</w:t>
      </w:r>
      <w:r w:rsidR="000F6771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terapeutiche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disponibili se non l’attenta osservazione con controlli regolari.</w:t>
      </w:r>
      <w:r w:rsid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</w:t>
      </w:r>
      <w:r w:rsidR="00F05C28">
        <w:rPr>
          <w:rFonts w:ascii="Arial" w:hAnsi="Arial" w:cs="Arial"/>
          <w:sz w:val="22"/>
          <w:szCs w:val="22"/>
          <w:shd w:val="clear" w:color="auto" w:fill="FFFFFF"/>
          <w:lang w:val="it-IT"/>
        </w:rPr>
        <w:t>Mancavano stud</w:t>
      </w:r>
      <w:r w:rsidR="00E60B78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i </w:t>
      </w:r>
      <w:r w:rsidR="00F05C28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in grado di supportare un 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vantaggio concreto nella riduzione del rischio di recidiva</w:t>
      </w:r>
      <w:r w:rsidR="004D3C42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con un trattamento farmacologico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”. “</w:t>
      </w:r>
      <w:r w:rsidR="002E3BCB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Nello s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tudio </w:t>
      </w:r>
      <w:r w:rsidR="007C30F1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KEYNOTE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-564 – continua il </w:t>
      </w:r>
      <w:r w:rsidR="00CF619F">
        <w:rPr>
          <w:rFonts w:ascii="Arial" w:hAnsi="Arial" w:cs="Arial"/>
          <w:sz w:val="22"/>
          <w:szCs w:val="22"/>
          <w:shd w:val="clear" w:color="auto" w:fill="FFFFFF"/>
          <w:lang w:val="it-IT"/>
        </w:rPr>
        <w:t>dottor</w:t>
      </w:r>
      <w:r w:rsid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Bracarda -, metodologicamente ben condotto</w:t>
      </w:r>
      <w:r w:rsid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>(randomizzato, prospettico,</w:t>
      </w:r>
      <w:r w:rsidR="00E60B78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in doppio cieco</w:t>
      </w:r>
      <w:r w:rsidR="002E3BCB"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e con un campione numeroso</w:t>
      </w:r>
      <w:r w:rsidR="002E3BCB" w:rsidRPr="00125E67">
        <w:rPr>
          <w:rStyle w:val="Rimandocommento"/>
          <w:lang w:val="it-IT"/>
        </w:rPr>
        <w:t>)</w:t>
      </w:r>
      <w:r w:rsidRPr="00125E67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, pembrolizumab ha dimostrato di essere efficace </w:t>
      </w:r>
      <w:r w:rsidR="00933158">
        <w:rPr>
          <w:rFonts w:ascii="Arial" w:hAnsi="Arial" w:cs="Arial"/>
          <w:sz w:val="22"/>
          <w:szCs w:val="22"/>
          <w:shd w:val="clear" w:color="auto" w:fill="FFFFFF"/>
          <w:lang w:val="it-IT"/>
        </w:rPr>
        <w:t>nel ridurre del 32% il rischio di recidiva o di morte rispetto al placebo</w:t>
      </w:r>
      <w:r w:rsidR="00CF619F">
        <w:rPr>
          <w:rFonts w:ascii="Arial" w:hAnsi="Arial" w:cs="Arial"/>
          <w:sz w:val="22"/>
          <w:szCs w:val="22"/>
          <w:shd w:val="clear" w:color="auto" w:fill="FFFFFF"/>
          <w:lang w:val="it-IT"/>
        </w:rPr>
        <w:t>,</w:t>
      </w:r>
      <w:r w:rsidR="00933158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</w:t>
      </w:r>
      <w:r w:rsidRPr="00012474">
        <w:rPr>
          <w:rFonts w:ascii="Arial" w:hAnsi="Arial" w:cs="Arial"/>
          <w:sz w:val="22"/>
          <w:szCs w:val="22"/>
          <w:shd w:val="clear" w:color="auto" w:fill="FFFFFF"/>
          <w:lang w:val="it-IT"/>
        </w:rPr>
        <w:t>associato ad</w:t>
      </w:r>
      <w:r w:rsidR="007C1539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</w:t>
      </w:r>
      <w:r w:rsidR="00466096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un </w:t>
      </w:r>
      <w:r w:rsidR="007C1539">
        <w:rPr>
          <w:rFonts w:ascii="Arial" w:hAnsi="Arial" w:cs="Arial"/>
          <w:sz w:val="22"/>
          <w:szCs w:val="22"/>
          <w:shd w:val="clear" w:color="auto" w:fill="FFFFFF"/>
          <w:lang w:val="it-IT"/>
        </w:rPr>
        <w:t>profilo di</w:t>
      </w:r>
      <w:r w:rsidRPr="00012474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tollerabilità </w:t>
      </w:r>
      <w:r w:rsidR="007C1539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accettabile </w:t>
      </w:r>
      <w:r w:rsidRPr="00012474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e </w:t>
      </w:r>
      <w:r w:rsidR="00E60B78" w:rsidRPr="00012474">
        <w:rPr>
          <w:rFonts w:ascii="Arial" w:hAnsi="Arial" w:cs="Arial"/>
          <w:sz w:val="22"/>
          <w:szCs w:val="22"/>
          <w:shd w:val="clear" w:color="auto" w:fill="FFFFFF"/>
          <w:lang w:val="it-IT"/>
        </w:rPr>
        <w:t>con</w:t>
      </w:r>
      <w:r w:rsidRPr="00012474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un trend favorevole</w:t>
      </w:r>
      <w:r w:rsidRPr="002E76B2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</w:t>
      </w:r>
      <w:r w:rsidR="00CF619F">
        <w:rPr>
          <w:rFonts w:ascii="Arial" w:hAnsi="Arial" w:cs="Arial"/>
          <w:sz w:val="22"/>
          <w:szCs w:val="22"/>
          <w:shd w:val="clear" w:color="auto" w:fill="FFFFFF"/>
          <w:lang w:val="it-IT"/>
        </w:rPr>
        <w:t>di</w:t>
      </w:r>
      <w:r w:rsidRPr="002E76B2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sopravvivenza globale</w:t>
      </w:r>
      <w:r w:rsidR="00CF619F">
        <w:rPr>
          <w:rFonts w:ascii="Arial" w:hAnsi="Arial" w:cs="Arial"/>
          <w:sz w:val="22"/>
          <w:szCs w:val="22"/>
          <w:shd w:val="clear" w:color="auto" w:fill="FFFFFF"/>
          <w:lang w:val="it-IT"/>
        </w:rPr>
        <w:t>, in pazienti operati per carcinoma renale a cellule chiare a rischio intermedio-alto o alto di recidiva, compresi quelli sottoposti a resenzione delle lesioni metastatiche e liberi da malattia alla rivalutazione</w:t>
      </w:r>
      <w:r w:rsidRPr="002E76B2">
        <w:rPr>
          <w:rFonts w:ascii="Arial" w:hAnsi="Arial" w:cs="Arial"/>
          <w:sz w:val="22"/>
          <w:szCs w:val="22"/>
          <w:shd w:val="clear" w:color="auto" w:fill="FFFFFF"/>
          <w:lang w:val="it-IT"/>
        </w:rPr>
        <w:t>. L’immunoterapia con pembrolizumab, che ha già ottenuto risultati importanti nella malattia avanzata, apre così</w:t>
      </w:r>
      <w:r w:rsidR="00CD16DF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una nuova</w:t>
      </w:r>
      <w:r w:rsidRPr="002E76B2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prospettiv</w:t>
      </w:r>
      <w:r w:rsidR="00CD16DF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a </w:t>
      </w:r>
      <w:r w:rsidRPr="002E76B2">
        <w:rPr>
          <w:rFonts w:ascii="Arial" w:hAnsi="Arial" w:cs="Arial"/>
          <w:sz w:val="22"/>
          <w:szCs w:val="22"/>
          <w:shd w:val="clear" w:color="auto" w:fill="FFFFFF"/>
          <w:lang w:val="it-IT"/>
        </w:rPr>
        <w:t>per il suo</w:t>
      </w:r>
      <w:r w:rsidR="00CD16DF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impiego </w:t>
      </w:r>
      <w:r w:rsidR="00E60B78">
        <w:rPr>
          <w:rFonts w:ascii="Arial" w:hAnsi="Arial" w:cs="Arial"/>
          <w:sz w:val="22"/>
          <w:szCs w:val="22"/>
          <w:shd w:val="clear" w:color="auto" w:fill="FFFFFF"/>
          <w:lang w:val="it-IT"/>
        </w:rPr>
        <w:t>anche</w:t>
      </w:r>
      <w:r w:rsidRPr="002E76B2">
        <w:rPr>
          <w:rFonts w:ascii="Arial" w:hAnsi="Arial" w:cs="Arial"/>
          <w:sz w:val="22"/>
          <w:szCs w:val="22"/>
          <w:shd w:val="clear" w:color="auto" w:fill="FFFFFF"/>
          <w:lang w:val="it-IT"/>
        </w:rPr>
        <w:t xml:space="preserve"> in una fase più precoce, subito dopo la chirurgia”. </w:t>
      </w:r>
    </w:p>
    <w:bookmarkEnd w:id="2"/>
    <w:p w14:paraId="47BED87A" w14:textId="2C032227" w:rsidR="006C438A" w:rsidRDefault="00C01189" w:rsidP="00E24EF9">
      <w:pPr>
        <w:pStyle w:val="Testocommento"/>
        <w:spacing w:line="360" w:lineRule="auto"/>
        <w:ind w:firstLine="709"/>
        <w:jc w:val="both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"Con i risultati</w:t>
      </w:r>
      <w:r w:rsidR="00E60B78">
        <w:rPr>
          <w:rFonts w:ascii="Arial" w:hAnsi="Arial" w:cs="Arial"/>
          <w:sz w:val="22"/>
          <w:szCs w:val="22"/>
          <w:lang w:val="it-IT"/>
        </w:rPr>
        <w:t xml:space="preserve"> mostrati</w:t>
      </w:r>
      <w:r>
        <w:rPr>
          <w:rFonts w:ascii="Arial" w:hAnsi="Arial" w:cs="Arial"/>
          <w:sz w:val="22"/>
          <w:szCs w:val="22"/>
          <w:lang w:val="it-IT"/>
        </w:rPr>
        <w:t xml:space="preserve"> d</w:t>
      </w:r>
      <w:r w:rsidR="00E60B78">
        <w:rPr>
          <w:rFonts w:ascii="Arial" w:hAnsi="Arial" w:cs="Arial"/>
          <w:sz w:val="22"/>
          <w:szCs w:val="22"/>
          <w:lang w:val="it-IT"/>
        </w:rPr>
        <w:t>al</w:t>
      </w:r>
      <w:r>
        <w:rPr>
          <w:rFonts w:ascii="Arial" w:hAnsi="Arial" w:cs="Arial"/>
          <w:sz w:val="22"/>
          <w:szCs w:val="22"/>
          <w:lang w:val="it-IT"/>
        </w:rPr>
        <w:t xml:space="preserve"> </w:t>
      </w:r>
      <w:r w:rsidRPr="00C01189">
        <w:rPr>
          <w:rFonts w:ascii="Arial" w:hAnsi="Arial" w:cs="Arial"/>
          <w:sz w:val="22"/>
          <w:szCs w:val="22"/>
          <w:lang w:val="it-IT"/>
        </w:rPr>
        <w:t>KEYNOTE-564</w:t>
      </w:r>
      <w:r>
        <w:rPr>
          <w:rFonts w:ascii="Arial" w:hAnsi="Arial" w:cs="Arial"/>
          <w:sz w:val="22"/>
          <w:szCs w:val="22"/>
          <w:lang w:val="it-IT"/>
        </w:rPr>
        <w:t>,</w:t>
      </w:r>
      <w:r w:rsidR="007C1539">
        <w:rPr>
          <w:rFonts w:ascii="Arial" w:hAnsi="Arial" w:cs="Arial"/>
          <w:sz w:val="22"/>
          <w:szCs w:val="22"/>
          <w:lang w:val="it-IT"/>
        </w:rPr>
        <w:t xml:space="preserve"> </w:t>
      </w:r>
      <w:r>
        <w:rPr>
          <w:rFonts w:ascii="Arial" w:hAnsi="Arial" w:cs="Arial"/>
          <w:sz w:val="22"/>
          <w:szCs w:val="22"/>
          <w:lang w:val="it-IT"/>
        </w:rPr>
        <w:t xml:space="preserve">pembrolizumab </w:t>
      </w:r>
      <w:r w:rsidR="00F211F5">
        <w:rPr>
          <w:rFonts w:ascii="Arial" w:hAnsi="Arial" w:cs="Arial"/>
          <w:sz w:val="22"/>
          <w:szCs w:val="22"/>
          <w:lang w:val="it-IT"/>
        </w:rPr>
        <w:t>rappresenta</w:t>
      </w:r>
      <w:r>
        <w:rPr>
          <w:rFonts w:ascii="Arial" w:hAnsi="Arial" w:cs="Arial"/>
          <w:sz w:val="22"/>
          <w:szCs w:val="22"/>
          <w:lang w:val="it-IT"/>
        </w:rPr>
        <w:t xml:space="preserve"> la prima immunoterapia a mostrare un beneficio clinico nel trattamento adiuvante del tumore del rene", ha affermato il </w:t>
      </w:r>
      <w:r w:rsidRPr="00C01189">
        <w:rPr>
          <w:rFonts w:ascii="Arial" w:hAnsi="Arial" w:cs="Arial"/>
          <w:sz w:val="22"/>
          <w:szCs w:val="22"/>
          <w:lang w:val="it-IT"/>
        </w:rPr>
        <w:t xml:space="preserve">Dr. Toni K. Choueiri, </w:t>
      </w:r>
      <w:r w:rsidR="00E26E5F" w:rsidRPr="00E26E5F">
        <w:rPr>
          <w:rFonts w:ascii="Arial" w:hAnsi="Arial" w:cs="Arial"/>
          <w:sz w:val="22"/>
          <w:szCs w:val="22"/>
          <w:lang w:val="it-IT"/>
        </w:rPr>
        <w:t xml:space="preserve">director of the </w:t>
      </w:r>
      <w:r w:rsidRPr="00C01189">
        <w:rPr>
          <w:rFonts w:ascii="Arial" w:hAnsi="Arial" w:cs="Arial"/>
          <w:sz w:val="22"/>
          <w:szCs w:val="22"/>
          <w:lang w:val="it-IT"/>
        </w:rPr>
        <w:t xml:space="preserve">Lank Center for Genitourinary Oncology, co-leader of the Kidney Cancer Center, Dana-Farber Cancer Institute </w:t>
      </w:r>
      <w:r w:rsidR="00386C9E">
        <w:rPr>
          <w:rFonts w:ascii="Arial" w:hAnsi="Arial" w:cs="Arial"/>
          <w:sz w:val="22"/>
          <w:szCs w:val="22"/>
          <w:lang w:val="it-IT"/>
        </w:rPr>
        <w:t>e</w:t>
      </w:r>
      <w:r w:rsidRPr="00C01189">
        <w:rPr>
          <w:rFonts w:ascii="Arial" w:hAnsi="Arial" w:cs="Arial"/>
          <w:sz w:val="22"/>
          <w:szCs w:val="22"/>
          <w:lang w:val="it-IT"/>
        </w:rPr>
        <w:t xml:space="preserve"> professor of medicine </w:t>
      </w:r>
      <w:r w:rsidR="007C30F1">
        <w:rPr>
          <w:rFonts w:ascii="Arial" w:hAnsi="Arial" w:cs="Arial"/>
          <w:sz w:val="22"/>
          <w:szCs w:val="22"/>
          <w:lang w:val="it-IT"/>
        </w:rPr>
        <w:t>alla</w:t>
      </w:r>
      <w:r w:rsidRPr="00C01189">
        <w:rPr>
          <w:rFonts w:ascii="Arial" w:hAnsi="Arial" w:cs="Arial"/>
          <w:sz w:val="22"/>
          <w:szCs w:val="22"/>
          <w:lang w:val="it-IT"/>
        </w:rPr>
        <w:t xml:space="preserve"> Harvard Medical School.</w:t>
      </w:r>
      <w:r>
        <w:rPr>
          <w:rFonts w:ascii="Arial" w:hAnsi="Arial" w:cs="Arial"/>
          <w:sz w:val="22"/>
          <w:szCs w:val="22"/>
          <w:lang w:val="it-IT"/>
        </w:rPr>
        <w:t xml:space="preserve"> "</w:t>
      </w:r>
      <w:r w:rsidR="006412BB">
        <w:rPr>
          <w:rFonts w:ascii="Arial" w:hAnsi="Arial" w:cs="Arial"/>
          <w:sz w:val="22"/>
          <w:szCs w:val="22"/>
          <w:lang w:val="it-IT"/>
        </w:rPr>
        <w:t>Per arrivare a questo risultato</w:t>
      </w:r>
      <w:r w:rsidR="00E60B78">
        <w:rPr>
          <w:rFonts w:ascii="Arial" w:hAnsi="Arial" w:cs="Arial"/>
          <w:sz w:val="22"/>
          <w:szCs w:val="22"/>
          <w:lang w:val="it-IT"/>
        </w:rPr>
        <w:t xml:space="preserve"> ci sono voluti</w:t>
      </w:r>
      <w:r w:rsidR="006412BB">
        <w:rPr>
          <w:rFonts w:ascii="Arial" w:hAnsi="Arial" w:cs="Arial"/>
          <w:sz w:val="22"/>
          <w:szCs w:val="22"/>
          <w:lang w:val="it-IT"/>
        </w:rPr>
        <w:t xml:space="preserve"> decenni. </w:t>
      </w:r>
      <w:r w:rsidR="00E26E5F">
        <w:rPr>
          <w:rFonts w:ascii="Arial" w:hAnsi="Arial" w:cs="Arial"/>
          <w:sz w:val="22"/>
          <w:szCs w:val="22"/>
          <w:lang w:val="it-IT"/>
        </w:rPr>
        <w:t>Speriamo</w:t>
      </w:r>
      <w:r w:rsidR="002E76B2">
        <w:rPr>
          <w:rFonts w:ascii="Arial" w:hAnsi="Arial" w:cs="Arial"/>
          <w:sz w:val="22"/>
          <w:szCs w:val="22"/>
          <w:lang w:val="it-IT"/>
        </w:rPr>
        <w:t>,</w:t>
      </w:r>
      <w:r w:rsidR="00E26E5F">
        <w:rPr>
          <w:rFonts w:ascii="Arial" w:hAnsi="Arial" w:cs="Arial"/>
          <w:sz w:val="22"/>
          <w:szCs w:val="22"/>
          <w:lang w:val="it-IT"/>
        </w:rPr>
        <w:t xml:space="preserve"> ora</w:t>
      </w:r>
      <w:r w:rsidR="006412BB" w:rsidRPr="00E26E5F">
        <w:rPr>
          <w:rFonts w:ascii="Arial" w:hAnsi="Arial" w:cs="Arial"/>
          <w:sz w:val="22"/>
          <w:szCs w:val="22"/>
          <w:lang w:val="it-IT"/>
        </w:rPr>
        <w:t xml:space="preserve"> </w:t>
      </w:r>
      <w:r w:rsidR="002E76B2">
        <w:rPr>
          <w:rFonts w:ascii="Arial" w:hAnsi="Arial" w:cs="Arial"/>
          <w:sz w:val="22"/>
          <w:szCs w:val="22"/>
          <w:lang w:val="it-IT"/>
        </w:rPr>
        <w:t xml:space="preserve">che abbiamo conseguito </w:t>
      </w:r>
      <w:r w:rsidR="006412BB">
        <w:rPr>
          <w:rFonts w:ascii="Arial" w:hAnsi="Arial" w:cs="Arial"/>
          <w:sz w:val="22"/>
          <w:szCs w:val="22"/>
          <w:lang w:val="it-IT"/>
        </w:rPr>
        <w:t>questo importante traguardo</w:t>
      </w:r>
      <w:r w:rsidR="002E76B2">
        <w:rPr>
          <w:rFonts w:ascii="Arial" w:hAnsi="Arial" w:cs="Arial"/>
          <w:sz w:val="22"/>
          <w:szCs w:val="22"/>
          <w:lang w:val="it-IT"/>
        </w:rPr>
        <w:t xml:space="preserve">, di continuare a </w:t>
      </w:r>
      <w:r w:rsidR="006412BB">
        <w:rPr>
          <w:rFonts w:ascii="Arial" w:hAnsi="Arial" w:cs="Arial"/>
          <w:sz w:val="22"/>
          <w:szCs w:val="22"/>
          <w:lang w:val="it-IT"/>
        </w:rPr>
        <w:t xml:space="preserve">fornire nuove opzioni di trattamento </w:t>
      </w:r>
      <w:r w:rsidR="00E26E5F">
        <w:rPr>
          <w:rFonts w:ascii="Arial" w:hAnsi="Arial" w:cs="Arial"/>
          <w:sz w:val="22"/>
          <w:szCs w:val="22"/>
          <w:lang w:val="it-IT"/>
        </w:rPr>
        <w:t>a</w:t>
      </w:r>
      <w:r w:rsidR="006412BB">
        <w:rPr>
          <w:rFonts w:ascii="Arial" w:hAnsi="Arial" w:cs="Arial"/>
          <w:sz w:val="22"/>
          <w:szCs w:val="22"/>
          <w:lang w:val="it-IT"/>
        </w:rPr>
        <w:t>i pazienti con tumore del rene</w:t>
      </w:r>
      <w:r>
        <w:rPr>
          <w:rFonts w:ascii="Arial" w:hAnsi="Arial" w:cs="Arial"/>
          <w:sz w:val="22"/>
          <w:szCs w:val="22"/>
          <w:lang w:val="it-IT"/>
        </w:rPr>
        <w:t>"</w:t>
      </w:r>
      <w:r w:rsidR="006412BB">
        <w:rPr>
          <w:rFonts w:ascii="Arial" w:hAnsi="Arial" w:cs="Arial"/>
          <w:sz w:val="22"/>
          <w:szCs w:val="22"/>
          <w:lang w:val="it-IT"/>
        </w:rPr>
        <w:t>.</w:t>
      </w:r>
    </w:p>
    <w:p w14:paraId="7F838F38" w14:textId="6E98AB48" w:rsidR="006412BB" w:rsidRDefault="007B4241" w:rsidP="00F651F3">
      <w:pPr>
        <w:pStyle w:val="Testocommento"/>
        <w:spacing w:line="360" w:lineRule="auto"/>
        <w:ind w:firstLine="709"/>
        <w:jc w:val="both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"Questi dati</w:t>
      </w:r>
      <w:r w:rsidR="00AB45E7">
        <w:rPr>
          <w:rFonts w:ascii="Arial" w:hAnsi="Arial" w:cs="Arial"/>
          <w:sz w:val="22"/>
          <w:szCs w:val="22"/>
          <w:lang w:val="it-IT"/>
        </w:rPr>
        <w:t xml:space="preserve"> -</w:t>
      </w:r>
      <w:r>
        <w:rPr>
          <w:rFonts w:ascii="Arial" w:hAnsi="Arial" w:cs="Arial"/>
          <w:sz w:val="22"/>
          <w:szCs w:val="22"/>
          <w:lang w:val="it-IT"/>
        </w:rPr>
        <w:t xml:space="preserve"> </w:t>
      </w:r>
      <w:r w:rsidR="00AB45E7">
        <w:rPr>
          <w:rFonts w:ascii="Arial" w:hAnsi="Arial" w:cs="Arial"/>
          <w:sz w:val="22"/>
          <w:szCs w:val="22"/>
          <w:lang w:val="it-IT"/>
        </w:rPr>
        <w:t xml:space="preserve">ha aggiunto il </w:t>
      </w:r>
      <w:r w:rsidR="00AB45E7" w:rsidRPr="007B4241">
        <w:rPr>
          <w:rFonts w:ascii="Arial" w:hAnsi="Arial" w:cs="Arial"/>
          <w:color w:val="000000" w:themeColor="text1"/>
          <w:sz w:val="22"/>
          <w:szCs w:val="22"/>
          <w:lang w:val="it-IT"/>
        </w:rPr>
        <w:t>Dr. Scot Ebbinghaus, vice president, clinical research, Merck Research Laboratories</w:t>
      </w:r>
      <w:r w:rsidR="00AB45E7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 -</w:t>
      </w:r>
      <w:r w:rsidR="00AB45E7">
        <w:rPr>
          <w:rFonts w:ascii="Arial" w:hAnsi="Arial" w:cs="Arial"/>
          <w:sz w:val="22"/>
          <w:szCs w:val="22"/>
          <w:lang w:val="it-IT"/>
        </w:rPr>
        <w:t xml:space="preserve"> </w:t>
      </w:r>
      <w:r>
        <w:rPr>
          <w:rFonts w:ascii="Arial" w:hAnsi="Arial" w:cs="Arial"/>
          <w:sz w:val="22"/>
          <w:szCs w:val="22"/>
          <w:lang w:val="it-IT"/>
        </w:rPr>
        <w:t>evidenziano l'opportunità</w:t>
      </w:r>
      <w:r w:rsidR="007B57A8">
        <w:rPr>
          <w:rFonts w:ascii="Arial" w:hAnsi="Arial" w:cs="Arial"/>
          <w:sz w:val="22"/>
          <w:szCs w:val="22"/>
          <w:lang w:val="it-IT"/>
        </w:rPr>
        <w:t xml:space="preserve"> data </w:t>
      </w:r>
      <w:r>
        <w:rPr>
          <w:rFonts w:ascii="Arial" w:hAnsi="Arial" w:cs="Arial"/>
          <w:sz w:val="22"/>
          <w:szCs w:val="22"/>
          <w:lang w:val="it-IT"/>
        </w:rPr>
        <w:t>d</w:t>
      </w:r>
      <w:r w:rsidR="007B57A8">
        <w:rPr>
          <w:rFonts w:ascii="Arial" w:hAnsi="Arial" w:cs="Arial"/>
          <w:sz w:val="22"/>
          <w:szCs w:val="22"/>
          <w:lang w:val="it-IT"/>
        </w:rPr>
        <w:t>a</w:t>
      </w:r>
      <w:r>
        <w:rPr>
          <w:rFonts w:ascii="Arial" w:hAnsi="Arial" w:cs="Arial"/>
          <w:sz w:val="22"/>
          <w:szCs w:val="22"/>
          <w:lang w:val="it-IT"/>
        </w:rPr>
        <w:t xml:space="preserve"> pembrolizumab di divenire </w:t>
      </w:r>
      <w:r w:rsidR="007B57A8">
        <w:rPr>
          <w:rFonts w:ascii="Arial" w:hAnsi="Arial" w:cs="Arial"/>
          <w:sz w:val="22"/>
          <w:szCs w:val="22"/>
          <w:lang w:val="it-IT"/>
        </w:rPr>
        <w:t xml:space="preserve">il </w:t>
      </w:r>
      <w:r>
        <w:rPr>
          <w:rFonts w:ascii="Arial" w:hAnsi="Arial" w:cs="Arial"/>
          <w:sz w:val="22"/>
          <w:szCs w:val="22"/>
          <w:lang w:val="it-IT"/>
        </w:rPr>
        <w:t xml:space="preserve">nuovo standard di cura per i pazienti con carcinoma a cellule renali in stadio iniziale e </w:t>
      </w:r>
      <w:r w:rsidR="002E76B2">
        <w:rPr>
          <w:rFonts w:ascii="Arial" w:hAnsi="Arial" w:cs="Arial"/>
          <w:sz w:val="22"/>
          <w:szCs w:val="22"/>
          <w:lang w:val="it-IT"/>
        </w:rPr>
        <w:t xml:space="preserve">desideriamo </w:t>
      </w:r>
      <w:r w:rsidR="003C7129">
        <w:rPr>
          <w:rFonts w:ascii="Arial" w:hAnsi="Arial" w:cs="Arial"/>
          <w:sz w:val="22"/>
          <w:szCs w:val="22"/>
          <w:lang w:val="it-IT"/>
        </w:rPr>
        <w:t xml:space="preserve">collaborare con le autorità regolatorie per rendere questa opzione di trattamento disponibile </w:t>
      </w:r>
      <w:r w:rsidR="007B57A8">
        <w:rPr>
          <w:rFonts w:ascii="Arial" w:hAnsi="Arial" w:cs="Arial"/>
          <w:sz w:val="22"/>
          <w:szCs w:val="22"/>
          <w:lang w:val="it-IT"/>
        </w:rPr>
        <w:t>per i</w:t>
      </w:r>
      <w:r w:rsidR="00AF68E7">
        <w:rPr>
          <w:rFonts w:ascii="Arial" w:hAnsi="Arial" w:cs="Arial"/>
          <w:sz w:val="22"/>
          <w:szCs w:val="22"/>
          <w:lang w:val="it-IT"/>
        </w:rPr>
        <w:t xml:space="preserve"> </w:t>
      </w:r>
      <w:r w:rsidR="003C7129">
        <w:rPr>
          <w:rFonts w:ascii="Arial" w:hAnsi="Arial" w:cs="Arial"/>
          <w:sz w:val="22"/>
          <w:szCs w:val="22"/>
          <w:lang w:val="it-IT"/>
        </w:rPr>
        <w:t>pazienti</w:t>
      </w:r>
      <w:r>
        <w:rPr>
          <w:rFonts w:ascii="Arial" w:hAnsi="Arial" w:cs="Arial"/>
          <w:sz w:val="22"/>
          <w:szCs w:val="22"/>
          <w:lang w:val="it-IT"/>
        </w:rPr>
        <w:t>"</w:t>
      </w:r>
      <w:r w:rsidR="003C7129">
        <w:rPr>
          <w:rFonts w:ascii="Arial" w:hAnsi="Arial" w:cs="Arial"/>
          <w:sz w:val="22"/>
          <w:szCs w:val="22"/>
          <w:lang w:val="it-IT"/>
        </w:rPr>
        <w:t>.</w:t>
      </w:r>
    </w:p>
    <w:p w14:paraId="5BADD79D" w14:textId="01ABC1EA" w:rsidR="007B57A8" w:rsidRDefault="003C7129" w:rsidP="00F651F3">
      <w:pPr>
        <w:pStyle w:val="Testocommento"/>
        <w:spacing w:line="360" w:lineRule="auto"/>
        <w:ind w:firstLine="709"/>
        <w:jc w:val="both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Questi</w:t>
      </w:r>
      <w:r w:rsidR="002A445F">
        <w:rPr>
          <w:rFonts w:ascii="Arial" w:hAnsi="Arial" w:cs="Arial"/>
          <w:sz w:val="22"/>
          <w:szCs w:val="22"/>
          <w:lang w:val="it-IT"/>
        </w:rPr>
        <w:t xml:space="preserve"> i</w:t>
      </w:r>
      <w:r>
        <w:rPr>
          <w:rFonts w:ascii="Arial" w:hAnsi="Arial" w:cs="Arial"/>
          <w:sz w:val="22"/>
          <w:szCs w:val="22"/>
          <w:lang w:val="it-IT"/>
        </w:rPr>
        <w:t xml:space="preserve"> </w:t>
      </w:r>
      <w:r w:rsidR="00FC54C2">
        <w:rPr>
          <w:rFonts w:ascii="Arial" w:hAnsi="Arial" w:cs="Arial"/>
          <w:sz w:val="22"/>
          <w:szCs w:val="22"/>
          <w:lang w:val="it-IT"/>
        </w:rPr>
        <w:t>nuovi</w:t>
      </w:r>
      <w:r>
        <w:rPr>
          <w:rFonts w:ascii="Arial" w:hAnsi="Arial" w:cs="Arial"/>
          <w:sz w:val="22"/>
          <w:szCs w:val="22"/>
          <w:lang w:val="it-IT"/>
        </w:rPr>
        <w:t xml:space="preserve"> </w:t>
      </w:r>
      <w:r w:rsidR="002A445F">
        <w:rPr>
          <w:rFonts w:ascii="Arial" w:hAnsi="Arial" w:cs="Arial"/>
          <w:sz w:val="22"/>
          <w:szCs w:val="22"/>
          <w:lang w:val="it-IT"/>
        </w:rPr>
        <w:t xml:space="preserve">dati </w:t>
      </w:r>
      <w:r>
        <w:rPr>
          <w:rFonts w:ascii="Arial" w:hAnsi="Arial" w:cs="Arial"/>
          <w:sz w:val="22"/>
          <w:szCs w:val="22"/>
          <w:lang w:val="it-IT"/>
        </w:rPr>
        <w:t xml:space="preserve">presentati </w:t>
      </w:r>
      <w:r w:rsidR="00FC54C2">
        <w:rPr>
          <w:rFonts w:ascii="Arial" w:hAnsi="Arial" w:cs="Arial"/>
          <w:sz w:val="22"/>
          <w:szCs w:val="22"/>
          <w:lang w:val="it-IT"/>
        </w:rPr>
        <w:t>domenica 6 giugno durante la</w:t>
      </w:r>
      <w:r>
        <w:rPr>
          <w:rFonts w:ascii="Arial" w:hAnsi="Arial" w:cs="Arial"/>
          <w:sz w:val="22"/>
          <w:szCs w:val="22"/>
          <w:lang w:val="it-IT"/>
        </w:rPr>
        <w:t xml:space="preserve"> </w:t>
      </w:r>
      <w:r w:rsidR="00FC54C2">
        <w:rPr>
          <w:rFonts w:ascii="Arial" w:hAnsi="Arial" w:cs="Arial"/>
          <w:sz w:val="22"/>
          <w:szCs w:val="22"/>
          <w:lang w:val="it-IT"/>
        </w:rPr>
        <w:t>S</w:t>
      </w:r>
      <w:r>
        <w:rPr>
          <w:rFonts w:ascii="Arial" w:hAnsi="Arial" w:cs="Arial"/>
          <w:sz w:val="22"/>
          <w:szCs w:val="22"/>
          <w:lang w:val="it-IT"/>
        </w:rPr>
        <w:t xml:space="preserve">essione Plenaria del </w:t>
      </w:r>
      <w:r w:rsidR="006728F1">
        <w:rPr>
          <w:rFonts w:ascii="Arial" w:hAnsi="Arial" w:cs="Arial"/>
          <w:sz w:val="22"/>
          <w:szCs w:val="22"/>
          <w:lang w:val="it-IT"/>
        </w:rPr>
        <w:t>Congresso della Società Americana di Oncologia Clinica</w:t>
      </w:r>
      <w:r w:rsidRPr="003C7129">
        <w:rPr>
          <w:rFonts w:ascii="Arial" w:hAnsi="Arial" w:cs="Arial"/>
          <w:sz w:val="22"/>
          <w:szCs w:val="22"/>
          <w:lang w:val="it-IT"/>
        </w:rPr>
        <w:t xml:space="preserve"> (ASCO) (Abstract #LBA5)</w:t>
      </w:r>
      <w:r w:rsidR="00FC54C2">
        <w:rPr>
          <w:rFonts w:ascii="Arial" w:hAnsi="Arial" w:cs="Arial"/>
          <w:sz w:val="22"/>
          <w:szCs w:val="22"/>
          <w:lang w:val="it-IT"/>
        </w:rPr>
        <w:t>.</w:t>
      </w:r>
    </w:p>
    <w:p w14:paraId="770FFBA6" w14:textId="19379E6F" w:rsidR="007B57A8" w:rsidRDefault="00FC54C2" w:rsidP="00F651F3">
      <w:pPr>
        <w:pStyle w:val="Testocommento"/>
        <w:spacing w:line="360" w:lineRule="auto"/>
        <w:ind w:firstLine="709"/>
        <w:jc w:val="both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 xml:space="preserve"> </w:t>
      </w:r>
      <w:r w:rsidR="003C7129">
        <w:rPr>
          <w:rFonts w:ascii="Arial" w:hAnsi="Arial" w:cs="Arial"/>
          <w:sz w:val="22"/>
          <w:szCs w:val="22"/>
          <w:lang w:val="it-IT"/>
        </w:rPr>
        <w:t xml:space="preserve">Come </w:t>
      </w:r>
      <w:hyperlink r:id="rId14" w:history="1">
        <w:r w:rsidR="003C7129" w:rsidRPr="00AB2793">
          <w:rPr>
            <w:rStyle w:val="Collegamentoipertestuale"/>
            <w:rFonts w:ascii="Arial" w:hAnsi="Arial" w:cs="Arial"/>
            <w:sz w:val="22"/>
            <w:szCs w:val="22"/>
            <w:lang w:val="it-IT"/>
          </w:rPr>
          <w:t>annunciato</w:t>
        </w:r>
      </w:hyperlink>
      <w:r w:rsidR="003C7129">
        <w:rPr>
          <w:rFonts w:ascii="Arial" w:hAnsi="Arial" w:cs="Arial"/>
          <w:sz w:val="22"/>
          <w:szCs w:val="22"/>
          <w:lang w:val="it-IT"/>
        </w:rPr>
        <w:t>, i dati che comprendono più di 20 tip</w:t>
      </w:r>
      <w:r w:rsidR="007B57A8">
        <w:rPr>
          <w:rFonts w:ascii="Arial" w:hAnsi="Arial" w:cs="Arial"/>
          <w:sz w:val="22"/>
          <w:szCs w:val="22"/>
          <w:lang w:val="it-IT"/>
        </w:rPr>
        <w:t>ologie</w:t>
      </w:r>
      <w:r w:rsidR="003C7129">
        <w:rPr>
          <w:rFonts w:ascii="Arial" w:hAnsi="Arial" w:cs="Arial"/>
          <w:sz w:val="22"/>
          <w:szCs w:val="22"/>
          <w:lang w:val="it-IT"/>
        </w:rPr>
        <w:t xml:space="preserve"> di tumore</w:t>
      </w:r>
      <w:r w:rsidR="007B57A8">
        <w:rPr>
          <w:rFonts w:ascii="Arial" w:hAnsi="Arial" w:cs="Arial"/>
          <w:sz w:val="22"/>
          <w:szCs w:val="22"/>
          <w:lang w:val="it-IT"/>
        </w:rPr>
        <w:t xml:space="preserve"> differenti </w:t>
      </w:r>
      <w:r w:rsidR="00F211F5">
        <w:rPr>
          <w:rFonts w:ascii="Arial" w:hAnsi="Arial" w:cs="Arial"/>
          <w:sz w:val="22"/>
          <w:szCs w:val="22"/>
          <w:lang w:val="it-IT"/>
        </w:rPr>
        <w:t>fanno parte</w:t>
      </w:r>
      <w:r w:rsidR="003C7129">
        <w:rPr>
          <w:rFonts w:ascii="Arial" w:hAnsi="Arial" w:cs="Arial"/>
          <w:sz w:val="22"/>
          <w:szCs w:val="22"/>
          <w:lang w:val="it-IT"/>
        </w:rPr>
        <w:t xml:space="preserve"> </w:t>
      </w:r>
      <w:r w:rsidR="00F211F5">
        <w:rPr>
          <w:rFonts w:ascii="Arial" w:hAnsi="Arial" w:cs="Arial"/>
          <w:sz w:val="22"/>
          <w:szCs w:val="22"/>
          <w:lang w:val="it-IT"/>
        </w:rPr>
        <w:t>de</w:t>
      </w:r>
      <w:r w:rsidR="003C7129">
        <w:rPr>
          <w:rFonts w:ascii="Arial" w:hAnsi="Arial" w:cs="Arial"/>
          <w:sz w:val="22"/>
          <w:szCs w:val="22"/>
          <w:lang w:val="it-IT"/>
        </w:rPr>
        <w:t>l programma di ricerca oncologica di MSD</w:t>
      </w:r>
      <w:r w:rsidR="00F211F5">
        <w:rPr>
          <w:rFonts w:ascii="Arial" w:hAnsi="Arial" w:cs="Arial"/>
          <w:sz w:val="22"/>
          <w:szCs w:val="22"/>
          <w:lang w:val="it-IT"/>
        </w:rPr>
        <w:t xml:space="preserve"> presentato all'ASCO</w:t>
      </w:r>
      <w:r w:rsidR="003C7129">
        <w:rPr>
          <w:rFonts w:ascii="Arial" w:hAnsi="Arial" w:cs="Arial"/>
          <w:sz w:val="22"/>
          <w:szCs w:val="22"/>
          <w:lang w:val="it-IT"/>
        </w:rPr>
        <w:t>.</w:t>
      </w:r>
    </w:p>
    <w:p w14:paraId="517B35CF" w14:textId="7ECC1A0A" w:rsidR="007B57A8" w:rsidRDefault="003C7129" w:rsidP="00F651F3">
      <w:pPr>
        <w:pStyle w:val="Testocommento"/>
        <w:spacing w:line="360" w:lineRule="auto"/>
        <w:ind w:firstLine="709"/>
        <w:jc w:val="both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 xml:space="preserve"> Un compendio delle presentazioni e dei poster relativi agli studi di MSD è disponibile a</w:t>
      </w:r>
      <w:r w:rsidR="00F211F5">
        <w:rPr>
          <w:rFonts w:ascii="Arial" w:hAnsi="Arial" w:cs="Arial"/>
          <w:sz w:val="22"/>
          <w:szCs w:val="22"/>
          <w:lang w:val="it-IT"/>
        </w:rPr>
        <w:t xml:space="preserve"> </w:t>
      </w:r>
      <w:r w:rsidR="00F211F5" w:rsidRPr="00AB2793">
        <w:rPr>
          <w:rFonts w:ascii="Arial" w:hAnsi="Arial" w:cs="Arial"/>
          <w:sz w:val="22"/>
          <w:szCs w:val="22"/>
          <w:lang w:val="it-IT"/>
        </w:rPr>
        <w:t>questo</w:t>
      </w:r>
      <w:hyperlink r:id="rId15" w:history="1">
        <w:r w:rsidRPr="00AB2793">
          <w:rPr>
            <w:rStyle w:val="Collegamentoipertestuale"/>
            <w:rFonts w:ascii="Arial" w:hAnsi="Arial" w:cs="Arial"/>
            <w:sz w:val="22"/>
            <w:szCs w:val="22"/>
            <w:lang w:val="it-IT"/>
          </w:rPr>
          <w:t xml:space="preserve"> link</w:t>
        </w:r>
      </w:hyperlink>
      <w:r w:rsidRPr="00AB2793">
        <w:rPr>
          <w:rFonts w:ascii="Arial" w:hAnsi="Arial" w:cs="Arial"/>
          <w:sz w:val="22"/>
          <w:szCs w:val="22"/>
          <w:lang w:val="it-IT"/>
        </w:rPr>
        <w:t>.</w:t>
      </w:r>
      <w:r w:rsidR="00C04B76" w:rsidRPr="00C04B76">
        <w:rPr>
          <w:rFonts w:ascii="Arial" w:hAnsi="Arial" w:cs="Arial"/>
          <w:sz w:val="22"/>
          <w:szCs w:val="22"/>
          <w:lang w:val="it-IT"/>
        </w:rPr>
        <w:t xml:space="preserve"> </w:t>
      </w:r>
    </w:p>
    <w:p w14:paraId="751A49D5" w14:textId="7291767B" w:rsidR="00C04B76" w:rsidRPr="00C04B76" w:rsidRDefault="00C04B76" w:rsidP="00F651F3">
      <w:pPr>
        <w:pStyle w:val="Testocommento"/>
        <w:spacing w:line="360" w:lineRule="auto"/>
        <w:ind w:firstLine="709"/>
        <w:jc w:val="both"/>
        <w:rPr>
          <w:rFonts w:ascii="Arial" w:hAnsi="Arial" w:cs="Arial"/>
          <w:sz w:val="22"/>
          <w:szCs w:val="22"/>
          <w:lang w:val="it-IT"/>
        </w:rPr>
      </w:pPr>
      <w:r w:rsidRPr="00C04B76">
        <w:rPr>
          <w:rFonts w:ascii="Arial" w:hAnsi="Arial" w:cs="Arial"/>
          <w:sz w:val="22"/>
          <w:szCs w:val="22"/>
          <w:lang w:val="it-IT"/>
        </w:rPr>
        <w:t>Segui MSD su Twitter @Merck e tieniti aggiornato su ASCO News e usando l'hashtag #ASCO21.</w:t>
      </w:r>
    </w:p>
    <w:p w14:paraId="10EFDC1A" w14:textId="4DD2B2BA" w:rsidR="003C7129" w:rsidRDefault="00C04B76" w:rsidP="00F651F3">
      <w:pPr>
        <w:pStyle w:val="Testocommento"/>
        <w:spacing w:line="360" w:lineRule="auto"/>
        <w:ind w:firstLine="709"/>
        <w:jc w:val="both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lastRenderedPageBreak/>
        <w:t xml:space="preserve">MSD </w:t>
      </w:r>
      <w:r w:rsidR="00F211F5">
        <w:rPr>
          <w:rFonts w:ascii="Arial" w:hAnsi="Arial" w:cs="Arial"/>
          <w:sz w:val="22"/>
          <w:szCs w:val="22"/>
          <w:lang w:val="it-IT"/>
        </w:rPr>
        <w:t>prosegue</w:t>
      </w:r>
      <w:r>
        <w:rPr>
          <w:rFonts w:ascii="Arial" w:hAnsi="Arial" w:cs="Arial"/>
          <w:sz w:val="22"/>
          <w:szCs w:val="22"/>
          <w:lang w:val="it-IT"/>
        </w:rPr>
        <w:t xml:space="preserve"> gli studi su pembrolizumab, in combinazione o</w:t>
      </w:r>
      <w:r w:rsidR="007B57A8">
        <w:rPr>
          <w:rFonts w:ascii="Arial" w:hAnsi="Arial" w:cs="Arial"/>
          <w:sz w:val="22"/>
          <w:szCs w:val="22"/>
          <w:lang w:val="it-IT"/>
        </w:rPr>
        <w:t xml:space="preserve"> in</w:t>
      </w:r>
      <w:r>
        <w:rPr>
          <w:rFonts w:ascii="Arial" w:hAnsi="Arial" w:cs="Arial"/>
          <w:sz w:val="22"/>
          <w:szCs w:val="22"/>
          <w:lang w:val="it-IT"/>
        </w:rPr>
        <w:t xml:space="preserve"> monoterapia, </w:t>
      </w:r>
      <w:r w:rsidRPr="002E76B2">
        <w:rPr>
          <w:rFonts w:ascii="Arial" w:hAnsi="Arial" w:cs="Arial"/>
          <w:sz w:val="22"/>
          <w:szCs w:val="22"/>
          <w:lang w:val="it-IT"/>
        </w:rPr>
        <w:t>e su altri</w:t>
      </w:r>
      <w:r>
        <w:rPr>
          <w:rFonts w:ascii="Arial" w:hAnsi="Arial" w:cs="Arial"/>
          <w:sz w:val="22"/>
          <w:szCs w:val="22"/>
          <w:lang w:val="it-IT"/>
        </w:rPr>
        <w:t xml:space="preserve"> </w:t>
      </w:r>
      <w:r w:rsidR="002E76B2">
        <w:rPr>
          <w:rFonts w:ascii="Arial" w:hAnsi="Arial" w:cs="Arial"/>
          <w:sz w:val="22"/>
          <w:szCs w:val="22"/>
          <w:lang w:val="it-IT"/>
        </w:rPr>
        <w:t>farmaci</w:t>
      </w:r>
      <w:r>
        <w:rPr>
          <w:rFonts w:ascii="Arial" w:hAnsi="Arial" w:cs="Arial"/>
          <w:sz w:val="22"/>
          <w:szCs w:val="22"/>
          <w:lang w:val="it-IT"/>
        </w:rPr>
        <w:t xml:space="preserve"> sperimentali in molt</w:t>
      </w:r>
      <w:r w:rsidR="00FC54C2">
        <w:rPr>
          <w:rFonts w:ascii="Arial" w:hAnsi="Arial" w:cs="Arial"/>
          <w:sz w:val="22"/>
          <w:szCs w:val="22"/>
          <w:lang w:val="it-IT"/>
        </w:rPr>
        <w:t>i</w:t>
      </w:r>
      <w:r>
        <w:rPr>
          <w:rFonts w:ascii="Arial" w:hAnsi="Arial" w:cs="Arial"/>
          <w:sz w:val="22"/>
          <w:szCs w:val="22"/>
          <w:lang w:val="it-IT"/>
        </w:rPr>
        <w:t xml:space="preserve"> </w:t>
      </w:r>
      <w:r w:rsidR="00FC54C2">
        <w:rPr>
          <w:rFonts w:ascii="Arial" w:hAnsi="Arial" w:cs="Arial"/>
          <w:sz w:val="22"/>
          <w:szCs w:val="22"/>
          <w:lang w:val="it-IT"/>
        </w:rPr>
        <w:t>'setting'</w:t>
      </w:r>
      <w:r>
        <w:rPr>
          <w:rFonts w:ascii="Arial" w:hAnsi="Arial" w:cs="Arial"/>
          <w:sz w:val="22"/>
          <w:szCs w:val="22"/>
          <w:lang w:val="it-IT"/>
        </w:rPr>
        <w:t xml:space="preserve"> e stadi di RCC, incluso </w:t>
      </w:r>
      <w:r w:rsidR="00FC54C2">
        <w:rPr>
          <w:rFonts w:ascii="Arial" w:hAnsi="Arial" w:cs="Arial"/>
          <w:sz w:val="22"/>
          <w:szCs w:val="22"/>
          <w:lang w:val="it-IT"/>
        </w:rPr>
        <w:t>l'</w:t>
      </w:r>
      <w:r>
        <w:rPr>
          <w:rFonts w:ascii="Arial" w:hAnsi="Arial" w:cs="Arial"/>
          <w:sz w:val="22"/>
          <w:szCs w:val="22"/>
          <w:lang w:val="it-IT"/>
        </w:rPr>
        <w:t xml:space="preserve">adiuvante e </w:t>
      </w:r>
      <w:r w:rsidR="00B84A75">
        <w:rPr>
          <w:rFonts w:ascii="Arial" w:hAnsi="Arial" w:cs="Arial"/>
          <w:sz w:val="22"/>
          <w:szCs w:val="22"/>
          <w:lang w:val="it-IT"/>
        </w:rPr>
        <w:t xml:space="preserve">la </w:t>
      </w:r>
      <w:r w:rsidR="00FC54C2">
        <w:rPr>
          <w:rFonts w:ascii="Arial" w:hAnsi="Arial" w:cs="Arial"/>
          <w:sz w:val="22"/>
          <w:szCs w:val="22"/>
          <w:lang w:val="it-IT"/>
        </w:rPr>
        <w:t>malattia</w:t>
      </w:r>
      <w:r>
        <w:rPr>
          <w:rFonts w:ascii="Arial" w:hAnsi="Arial" w:cs="Arial"/>
          <w:sz w:val="22"/>
          <w:szCs w:val="22"/>
          <w:lang w:val="it-IT"/>
        </w:rPr>
        <w:t xml:space="preserve"> avanzata o metastatica attraverso un ampio programma di sviluppo clinico che comprende più di 20 studi clinici e </w:t>
      </w:r>
      <w:r w:rsidR="00FC54C2">
        <w:rPr>
          <w:rFonts w:ascii="Arial" w:hAnsi="Arial" w:cs="Arial"/>
          <w:sz w:val="22"/>
          <w:szCs w:val="22"/>
          <w:lang w:val="it-IT"/>
        </w:rPr>
        <w:t>oltre</w:t>
      </w:r>
      <w:r>
        <w:rPr>
          <w:rFonts w:ascii="Arial" w:hAnsi="Arial" w:cs="Arial"/>
          <w:sz w:val="22"/>
          <w:szCs w:val="22"/>
          <w:lang w:val="it-IT"/>
        </w:rPr>
        <w:t xml:space="preserve"> 4.000 pazienti.</w:t>
      </w:r>
    </w:p>
    <w:p w14:paraId="5CDB9182" w14:textId="77777777" w:rsidR="00C04B76" w:rsidRDefault="00C04B76" w:rsidP="00F651F3">
      <w:pPr>
        <w:pStyle w:val="Testocommento"/>
        <w:spacing w:line="360" w:lineRule="auto"/>
        <w:ind w:firstLine="709"/>
        <w:jc w:val="both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 xml:space="preserve">Pembrolizumab è attualmente approvato negli Stati Uniti, in Europa e Giappone in combinazione con axitinib per il trattamento di prima linea dei pazienti con RCC avanzato. </w:t>
      </w:r>
    </w:p>
    <w:p w14:paraId="759BA3CD" w14:textId="17A9006F" w:rsidR="00B43F50" w:rsidRDefault="00B43F50" w:rsidP="00F651F3">
      <w:pPr>
        <w:pStyle w:val="Testocommento"/>
        <w:spacing w:line="360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</w:p>
    <w:p w14:paraId="4982665C" w14:textId="77777777" w:rsidR="00AB2793" w:rsidRPr="00E26E5F" w:rsidRDefault="00AB2793" w:rsidP="00F651F3">
      <w:pPr>
        <w:pStyle w:val="Testocommento"/>
        <w:spacing w:line="360" w:lineRule="auto"/>
        <w:jc w:val="both"/>
        <w:rPr>
          <w:rFonts w:ascii="Arial" w:hAnsi="Arial" w:cs="Arial"/>
          <w:bCs/>
          <w:sz w:val="22"/>
          <w:szCs w:val="22"/>
          <w:lang w:val="it-IT"/>
        </w:rPr>
      </w:pPr>
    </w:p>
    <w:p w14:paraId="6EE7D659" w14:textId="77777777" w:rsidR="00B97AE9" w:rsidRPr="00B97AE9" w:rsidRDefault="00B97AE9" w:rsidP="00F651F3">
      <w:pPr>
        <w:shd w:val="clear" w:color="auto" w:fill="FFFFFF"/>
        <w:spacing w:line="360" w:lineRule="auto"/>
        <w:contextualSpacing/>
        <w:jc w:val="both"/>
        <w:rPr>
          <w:rFonts w:ascii="Arial" w:hAnsi="Arial" w:cs="Arial"/>
          <w:b/>
          <w:bCs/>
          <w:sz w:val="22"/>
          <w:szCs w:val="22"/>
          <w:lang w:val="it-IT"/>
        </w:rPr>
      </w:pPr>
      <w:r w:rsidRPr="00B97AE9">
        <w:rPr>
          <w:rFonts w:ascii="Arial" w:hAnsi="Arial" w:cs="Arial"/>
          <w:b/>
          <w:bCs/>
          <w:sz w:val="22"/>
          <w:szCs w:val="22"/>
          <w:lang w:val="it-IT"/>
        </w:rPr>
        <w:t xml:space="preserve">KEYNOTE-564: disegno dello studio e </w:t>
      </w:r>
      <w:r>
        <w:rPr>
          <w:rFonts w:ascii="Arial" w:hAnsi="Arial" w:cs="Arial"/>
          <w:b/>
          <w:bCs/>
          <w:sz w:val="22"/>
          <w:szCs w:val="22"/>
          <w:lang w:val="it-IT"/>
        </w:rPr>
        <w:t>altri</w:t>
      </w:r>
      <w:r w:rsidRPr="00B97AE9">
        <w:rPr>
          <w:rFonts w:ascii="Arial" w:hAnsi="Arial" w:cs="Arial"/>
          <w:b/>
          <w:bCs/>
          <w:sz w:val="22"/>
          <w:szCs w:val="22"/>
          <w:lang w:val="it-IT"/>
        </w:rPr>
        <w:t xml:space="preserve"> dati</w:t>
      </w:r>
    </w:p>
    <w:p w14:paraId="4F16FD4E" w14:textId="77777777" w:rsidR="00B97AE9" w:rsidRPr="00B97AE9" w:rsidRDefault="00B97AE9" w:rsidP="00F651F3">
      <w:pPr>
        <w:shd w:val="clear" w:color="auto" w:fill="FFFFFF"/>
        <w:spacing w:line="360" w:lineRule="auto"/>
        <w:contextualSpacing/>
        <w:jc w:val="both"/>
        <w:rPr>
          <w:rFonts w:ascii="Arial" w:hAnsi="Arial" w:cs="Arial"/>
          <w:b/>
          <w:bCs/>
          <w:sz w:val="22"/>
          <w:szCs w:val="22"/>
          <w:lang w:val="it-IT"/>
        </w:rPr>
      </w:pPr>
    </w:p>
    <w:p w14:paraId="4000859C" w14:textId="05C5C7A4" w:rsidR="00B97AE9" w:rsidRDefault="00B97AE9" w:rsidP="00F651F3">
      <w:pPr>
        <w:pStyle w:val="Testocommento"/>
        <w:spacing w:line="360" w:lineRule="auto"/>
        <w:ind w:firstLine="709"/>
        <w:jc w:val="both"/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</w:pPr>
      <w:r w:rsidRPr="00B97AE9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>KEYNOTE-564 è uno studio di fase 3, randomizzato</w:t>
      </w:r>
      <w:r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 xml:space="preserve">, in doppio cieco </w:t>
      </w:r>
      <w:r w:rsidRPr="00B97AE9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>(</w:t>
      </w:r>
      <w:hyperlink r:id="rId16" w:history="1">
        <w:r w:rsidRPr="00B97AE9">
          <w:rPr>
            <w:rStyle w:val="Collegamentoipertestuale"/>
            <w:rFonts w:ascii="Arial" w:hAnsi="Arial" w:cs="Arial"/>
            <w:sz w:val="22"/>
            <w:szCs w:val="22"/>
            <w:lang w:val="it-IT"/>
          </w:rPr>
          <w:t>ClinicalTrials.gov</w:t>
        </w:r>
      </w:hyperlink>
      <w:r w:rsidRPr="00B97AE9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>,</w:t>
      </w:r>
      <w:r w:rsidR="00FC54C2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 xml:space="preserve"> </w:t>
      </w:r>
      <w:hyperlink r:id="rId17" w:history="1">
        <w:r w:rsidRPr="00B97AE9">
          <w:rPr>
            <w:rStyle w:val="Collegamentoipertestuale"/>
            <w:rFonts w:ascii="Arial" w:hAnsi="Arial" w:cs="Arial"/>
            <w:sz w:val="22"/>
            <w:szCs w:val="22"/>
            <w:lang w:val="it-IT"/>
          </w:rPr>
          <w:t>NCT03142334</w:t>
        </w:r>
      </w:hyperlink>
      <w:r w:rsidRPr="00B97AE9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>)</w:t>
      </w:r>
      <w:r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 xml:space="preserve">, che ha valutato pembrolizumab in monoterapia </w:t>
      </w:r>
      <w:r w:rsidR="00D327EC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>rispetto a</w:t>
      </w:r>
      <w:r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 xml:space="preserve"> placebo nel trattamento </w:t>
      </w:r>
      <w:r w:rsidR="00FC54C2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>adiuvante d</w:t>
      </w:r>
      <w:r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 xml:space="preserve">i pazienti sottoposti a nefrectomia </w:t>
      </w:r>
      <w:r w:rsidR="00B8590C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 xml:space="preserve">per </w:t>
      </w:r>
      <w:r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>RCC con componente a cellule chiare a rischio intermedio-alto</w:t>
      </w:r>
      <w:r w:rsidR="00B8590C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 xml:space="preserve"> o </w:t>
      </w:r>
      <w:r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 xml:space="preserve">alto o nessuna evidenza di malattia M1 (M1 NED). Lo studio ha arruolato 994 pazienti che sono stati randomizzati a ricevere pembrolizumab (200 mg per via endovenosa [IV] al giorno 1 di ogni ciclo di tre settimane per un </w:t>
      </w:r>
      <w:r w:rsidR="0004331E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>massimo</w:t>
      </w:r>
      <w:r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 xml:space="preserve"> di 17 cicli) o placebo </w:t>
      </w:r>
      <w:r w:rsidR="0004331E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>(soluzione salina IV al giorno 1 di ogni ciclo di tre settimane per un massimo di 17 cicli). Endpoint primario è la sopravvivenza libera da malattia (DFS) ed endpoint secondari includ</w:t>
      </w:r>
      <w:r w:rsidR="00FC54C2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>o</w:t>
      </w:r>
      <w:r w:rsidR="0004331E">
        <w:rPr>
          <w:rStyle w:val="Enfasigrassetto"/>
          <w:rFonts w:ascii="Arial" w:hAnsi="Arial" w:cs="Arial"/>
          <w:b w:val="0"/>
          <w:bCs w:val="0"/>
          <w:color w:val="000000"/>
          <w:sz w:val="22"/>
          <w:szCs w:val="22"/>
          <w:lang w:val="it-IT"/>
        </w:rPr>
        <w:t>no OS e sicurezza.</w:t>
      </w:r>
    </w:p>
    <w:p w14:paraId="15EBBF77" w14:textId="7D123FED" w:rsidR="00BC72E0" w:rsidRDefault="00973D6D" w:rsidP="00ED426F">
      <w:pPr>
        <w:pStyle w:val="Testocommento"/>
        <w:spacing w:line="360" w:lineRule="auto"/>
        <w:ind w:firstLine="709"/>
        <w:jc w:val="both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Al cut-off dei dati</w:t>
      </w:r>
      <w:r w:rsidR="00FC54C2">
        <w:rPr>
          <w:rFonts w:ascii="Arial" w:hAnsi="Arial" w:cs="Arial"/>
          <w:sz w:val="22"/>
          <w:szCs w:val="22"/>
          <w:lang w:val="it-IT"/>
        </w:rPr>
        <w:t xml:space="preserve"> (</w:t>
      </w:r>
      <w:r w:rsidR="00D327EC">
        <w:rPr>
          <w:rFonts w:ascii="Arial" w:hAnsi="Arial" w:cs="Arial"/>
          <w:sz w:val="22"/>
          <w:szCs w:val="22"/>
          <w:lang w:val="it-IT"/>
        </w:rPr>
        <w:t>14 dicembre 2020</w:t>
      </w:r>
      <w:r w:rsidR="00FC54C2">
        <w:rPr>
          <w:rFonts w:ascii="Arial" w:hAnsi="Arial" w:cs="Arial"/>
          <w:sz w:val="22"/>
          <w:szCs w:val="22"/>
          <w:lang w:val="it-IT"/>
        </w:rPr>
        <w:t>)</w:t>
      </w:r>
      <w:r>
        <w:rPr>
          <w:rFonts w:ascii="Arial" w:hAnsi="Arial" w:cs="Arial"/>
          <w:sz w:val="22"/>
          <w:szCs w:val="22"/>
          <w:lang w:val="it-IT"/>
        </w:rPr>
        <w:t>, il follow-up mediano dello studio era</w:t>
      </w:r>
      <w:r w:rsidR="00D327EC">
        <w:rPr>
          <w:rFonts w:ascii="Arial" w:hAnsi="Arial" w:cs="Arial"/>
          <w:sz w:val="22"/>
          <w:szCs w:val="22"/>
          <w:lang w:val="it-IT"/>
        </w:rPr>
        <w:t xml:space="preserve"> di 24,1</w:t>
      </w:r>
      <w:r>
        <w:rPr>
          <w:rFonts w:ascii="Arial" w:hAnsi="Arial" w:cs="Arial"/>
          <w:sz w:val="22"/>
          <w:szCs w:val="22"/>
          <w:lang w:val="it-IT"/>
        </w:rPr>
        <w:t xml:space="preserve"> mesi. I risultati hanno mostrato che pembrolizumab migliora</w:t>
      </w:r>
      <w:r w:rsidR="00FC54C2">
        <w:rPr>
          <w:rFonts w:ascii="Arial" w:hAnsi="Arial" w:cs="Arial"/>
          <w:sz w:val="22"/>
          <w:szCs w:val="22"/>
          <w:lang w:val="it-IT"/>
        </w:rPr>
        <w:t>va</w:t>
      </w:r>
      <w:r>
        <w:rPr>
          <w:rFonts w:ascii="Arial" w:hAnsi="Arial" w:cs="Arial"/>
          <w:sz w:val="22"/>
          <w:szCs w:val="22"/>
          <w:lang w:val="it-IT"/>
        </w:rPr>
        <w:t xml:space="preserve"> statisticamente </w:t>
      </w:r>
      <w:r w:rsidR="002E3915">
        <w:rPr>
          <w:rFonts w:ascii="Arial" w:hAnsi="Arial" w:cs="Arial"/>
          <w:sz w:val="22"/>
          <w:szCs w:val="22"/>
          <w:lang w:val="it-IT"/>
        </w:rPr>
        <w:t>la DFS nei pazienti con RCC dop</w:t>
      </w:r>
      <w:r>
        <w:rPr>
          <w:rFonts w:ascii="Arial" w:hAnsi="Arial" w:cs="Arial"/>
          <w:sz w:val="22"/>
          <w:szCs w:val="22"/>
          <w:lang w:val="it-IT"/>
        </w:rPr>
        <w:t>o nefrectomia o dopo nefr</w:t>
      </w:r>
      <w:r w:rsidR="00525F7B">
        <w:rPr>
          <w:rFonts w:ascii="Arial" w:hAnsi="Arial" w:cs="Arial"/>
          <w:sz w:val="22"/>
          <w:szCs w:val="22"/>
          <w:lang w:val="it-IT"/>
        </w:rPr>
        <w:t>e</w:t>
      </w:r>
      <w:r>
        <w:rPr>
          <w:rFonts w:ascii="Arial" w:hAnsi="Arial" w:cs="Arial"/>
          <w:sz w:val="22"/>
          <w:szCs w:val="22"/>
          <w:lang w:val="it-IT"/>
        </w:rPr>
        <w:t>ctomia e resezione delle lesioni metastatiche</w:t>
      </w:r>
      <w:r w:rsidR="00F211F5">
        <w:rPr>
          <w:rFonts w:ascii="Arial" w:hAnsi="Arial" w:cs="Arial"/>
          <w:sz w:val="22"/>
          <w:szCs w:val="22"/>
          <w:lang w:val="it-IT"/>
        </w:rPr>
        <w:t>,</w:t>
      </w:r>
      <w:r>
        <w:rPr>
          <w:rFonts w:ascii="Arial" w:hAnsi="Arial" w:cs="Arial"/>
          <w:sz w:val="22"/>
          <w:szCs w:val="22"/>
          <w:lang w:val="it-IT"/>
        </w:rPr>
        <w:t xml:space="preserve"> rispetto al placebo (</w:t>
      </w:r>
      <w:r w:rsidR="00D327EC" w:rsidRPr="00D327EC">
        <w:rPr>
          <w:rFonts w:ascii="Arial" w:hAnsi="Arial" w:cs="Arial"/>
          <w:sz w:val="22"/>
          <w:szCs w:val="22"/>
          <w:lang w:val="it-IT"/>
        </w:rPr>
        <w:t>HR=0</w:t>
      </w:r>
      <w:r w:rsidR="00D327EC">
        <w:rPr>
          <w:rFonts w:ascii="Arial" w:hAnsi="Arial" w:cs="Arial"/>
          <w:sz w:val="22"/>
          <w:szCs w:val="22"/>
          <w:lang w:val="it-IT"/>
        </w:rPr>
        <w:t>,</w:t>
      </w:r>
      <w:r w:rsidR="00D327EC" w:rsidRPr="00D327EC">
        <w:rPr>
          <w:rFonts w:ascii="Arial" w:hAnsi="Arial" w:cs="Arial"/>
          <w:sz w:val="22"/>
          <w:szCs w:val="22"/>
          <w:lang w:val="it-IT"/>
        </w:rPr>
        <w:t>68 [</w:t>
      </w:r>
      <w:r w:rsidR="00D327EC">
        <w:rPr>
          <w:rFonts w:ascii="Arial" w:hAnsi="Arial" w:cs="Arial"/>
          <w:sz w:val="22"/>
          <w:szCs w:val="22"/>
          <w:lang w:val="it-IT"/>
        </w:rPr>
        <w:t xml:space="preserve">IC </w:t>
      </w:r>
      <w:r w:rsidR="00D327EC" w:rsidRPr="00D327EC">
        <w:rPr>
          <w:rFonts w:ascii="Arial" w:hAnsi="Arial" w:cs="Arial"/>
          <w:sz w:val="22"/>
          <w:szCs w:val="22"/>
          <w:lang w:val="it-IT"/>
        </w:rPr>
        <w:t>95%, 0</w:t>
      </w:r>
      <w:r w:rsidR="00D327EC">
        <w:rPr>
          <w:rFonts w:ascii="Arial" w:hAnsi="Arial" w:cs="Arial"/>
          <w:sz w:val="22"/>
          <w:szCs w:val="22"/>
          <w:lang w:val="it-IT"/>
        </w:rPr>
        <w:t>,</w:t>
      </w:r>
      <w:r w:rsidR="00D327EC" w:rsidRPr="00D327EC">
        <w:rPr>
          <w:rFonts w:ascii="Arial" w:hAnsi="Arial" w:cs="Arial"/>
          <w:sz w:val="22"/>
          <w:szCs w:val="22"/>
          <w:lang w:val="it-IT"/>
        </w:rPr>
        <w:t>53–0</w:t>
      </w:r>
      <w:r w:rsidR="00D327EC">
        <w:rPr>
          <w:rFonts w:ascii="Arial" w:hAnsi="Arial" w:cs="Arial"/>
          <w:sz w:val="22"/>
          <w:szCs w:val="22"/>
          <w:lang w:val="it-IT"/>
        </w:rPr>
        <w:t>,</w:t>
      </w:r>
      <w:r w:rsidR="00D327EC" w:rsidRPr="00D327EC">
        <w:rPr>
          <w:rFonts w:ascii="Arial" w:hAnsi="Arial" w:cs="Arial"/>
          <w:sz w:val="22"/>
          <w:szCs w:val="22"/>
          <w:lang w:val="it-IT"/>
        </w:rPr>
        <w:t>87]; p=0</w:t>
      </w:r>
      <w:r w:rsidR="00D327EC">
        <w:rPr>
          <w:rFonts w:ascii="Arial" w:hAnsi="Arial" w:cs="Arial"/>
          <w:sz w:val="22"/>
          <w:szCs w:val="22"/>
          <w:lang w:val="it-IT"/>
        </w:rPr>
        <w:t>,</w:t>
      </w:r>
      <w:r w:rsidR="00D327EC" w:rsidRPr="00D327EC">
        <w:rPr>
          <w:rFonts w:ascii="Arial" w:hAnsi="Arial" w:cs="Arial"/>
          <w:sz w:val="22"/>
          <w:szCs w:val="22"/>
          <w:lang w:val="it-IT"/>
        </w:rPr>
        <w:t>0010</w:t>
      </w:r>
      <w:r>
        <w:rPr>
          <w:rFonts w:ascii="Arial" w:hAnsi="Arial" w:cs="Arial"/>
          <w:sz w:val="22"/>
          <w:szCs w:val="22"/>
          <w:lang w:val="it-IT"/>
        </w:rPr>
        <w:t xml:space="preserve">). </w:t>
      </w:r>
      <w:r w:rsidRPr="00D327EC">
        <w:rPr>
          <w:rFonts w:ascii="Arial" w:hAnsi="Arial" w:cs="Arial"/>
          <w:sz w:val="22"/>
          <w:szCs w:val="22"/>
          <w:lang w:val="it-IT"/>
        </w:rPr>
        <w:t xml:space="preserve">Inoltre, il tasso di DFS stimata a due anni era pari </w:t>
      </w:r>
      <w:r w:rsidR="00D327EC" w:rsidRPr="00D327EC">
        <w:rPr>
          <w:rFonts w:ascii="Arial" w:hAnsi="Arial" w:cs="Arial"/>
          <w:sz w:val="22"/>
          <w:szCs w:val="22"/>
          <w:lang w:val="it-IT"/>
        </w:rPr>
        <w:t>al 77,3</w:t>
      </w:r>
      <w:r w:rsidRPr="00D327EC">
        <w:rPr>
          <w:rFonts w:ascii="Arial" w:hAnsi="Arial" w:cs="Arial"/>
          <w:sz w:val="22"/>
          <w:szCs w:val="22"/>
          <w:lang w:val="it-IT"/>
        </w:rPr>
        <w:t xml:space="preserve">% con pembrolizumab </w:t>
      </w:r>
      <w:r w:rsidR="00D327EC" w:rsidRPr="00D327EC">
        <w:rPr>
          <w:rFonts w:ascii="Arial" w:hAnsi="Arial" w:cs="Arial"/>
          <w:sz w:val="22"/>
          <w:szCs w:val="22"/>
          <w:lang w:val="it-IT"/>
        </w:rPr>
        <w:t xml:space="preserve">rispetto al 68,1% </w:t>
      </w:r>
      <w:r w:rsidRPr="00D327EC">
        <w:rPr>
          <w:rFonts w:ascii="Arial" w:hAnsi="Arial" w:cs="Arial"/>
          <w:sz w:val="22"/>
          <w:szCs w:val="22"/>
          <w:lang w:val="it-IT"/>
        </w:rPr>
        <w:t>con placebo</w:t>
      </w:r>
      <w:r>
        <w:rPr>
          <w:rFonts w:ascii="Arial" w:hAnsi="Arial" w:cs="Arial"/>
          <w:sz w:val="22"/>
          <w:szCs w:val="22"/>
          <w:lang w:val="it-IT"/>
        </w:rPr>
        <w:t xml:space="preserve">. </w:t>
      </w:r>
      <w:r w:rsidR="00FF488B">
        <w:rPr>
          <w:rFonts w:ascii="Arial" w:hAnsi="Arial" w:cs="Arial"/>
          <w:sz w:val="22"/>
          <w:szCs w:val="22"/>
          <w:lang w:val="it-IT"/>
        </w:rPr>
        <w:t xml:space="preserve">Complessivamente il beneficio </w:t>
      </w:r>
      <w:r w:rsidR="00B8590C">
        <w:rPr>
          <w:rFonts w:ascii="Arial" w:hAnsi="Arial" w:cs="Arial"/>
          <w:sz w:val="22"/>
          <w:szCs w:val="22"/>
          <w:lang w:val="it-IT"/>
        </w:rPr>
        <w:t xml:space="preserve">in </w:t>
      </w:r>
      <w:r w:rsidR="00FF488B">
        <w:rPr>
          <w:rFonts w:ascii="Arial" w:hAnsi="Arial" w:cs="Arial"/>
          <w:sz w:val="22"/>
          <w:szCs w:val="22"/>
          <w:lang w:val="it-IT"/>
        </w:rPr>
        <w:t xml:space="preserve">DFS è stato consistente in tutti i sottogruppi. </w:t>
      </w:r>
      <w:r w:rsidR="00ED426F" w:rsidRPr="004D11B3">
        <w:rPr>
          <w:rFonts w:ascii="Arial" w:hAnsi="Arial" w:cs="Arial"/>
          <w:sz w:val="22"/>
          <w:szCs w:val="22"/>
          <w:lang w:val="it-IT"/>
        </w:rPr>
        <w:t>La mediana di DFS non è stata raggiunta in nessuno dei due bracci</w:t>
      </w:r>
      <w:r w:rsidR="00B94BF3" w:rsidRPr="004D11B3">
        <w:rPr>
          <w:rFonts w:ascii="Arial" w:hAnsi="Arial" w:cs="Arial"/>
          <w:sz w:val="22"/>
          <w:szCs w:val="22"/>
          <w:lang w:val="it-IT"/>
        </w:rPr>
        <w:t xml:space="preserve"> di trattamento</w:t>
      </w:r>
      <w:r w:rsidR="00ED426F" w:rsidRPr="004D11B3">
        <w:rPr>
          <w:rFonts w:ascii="Arial" w:hAnsi="Arial" w:cs="Arial"/>
          <w:sz w:val="22"/>
          <w:szCs w:val="22"/>
          <w:lang w:val="it-IT"/>
        </w:rPr>
        <w:t xml:space="preserve"> al momento </w:t>
      </w:r>
      <w:r w:rsidR="00B8590C">
        <w:rPr>
          <w:rFonts w:ascii="Arial" w:hAnsi="Arial" w:cs="Arial"/>
          <w:sz w:val="22"/>
          <w:szCs w:val="22"/>
          <w:lang w:val="it-IT"/>
        </w:rPr>
        <w:t>sulla base degli eventi verificatisi</w:t>
      </w:r>
      <w:r w:rsidR="00ED426F" w:rsidRPr="004D11B3">
        <w:rPr>
          <w:rFonts w:ascii="Arial" w:hAnsi="Arial" w:cs="Arial"/>
          <w:sz w:val="22"/>
          <w:szCs w:val="22"/>
          <w:lang w:val="it-IT"/>
        </w:rPr>
        <w:t>.</w:t>
      </w:r>
      <w:r w:rsidR="00ED426F">
        <w:rPr>
          <w:rFonts w:ascii="Arial" w:hAnsi="Arial" w:cs="Arial"/>
          <w:sz w:val="22"/>
          <w:szCs w:val="22"/>
          <w:lang w:val="it-IT"/>
        </w:rPr>
        <w:t xml:space="preserve"> </w:t>
      </w:r>
    </w:p>
    <w:p w14:paraId="3273F54F" w14:textId="35FE1B39" w:rsidR="0004331E" w:rsidRPr="00D01095" w:rsidRDefault="00973D6D" w:rsidP="00BC72E0">
      <w:pPr>
        <w:pStyle w:val="Testocommento"/>
        <w:spacing w:line="360" w:lineRule="auto"/>
        <w:ind w:firstLine="709"/>
        <w:jc w:val="both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 xml:space="preserve">Gli eventi avversi </w:t>
      </w:r>
      <w:r w:rsidR="002E3915">
        <w:rPr>
          <w:rFonts w:ascii="Arial" w:hAnsi="Arial" w:cs="Arial"/>
          <w:sz w:val="22"/>
          <w:szCs w:val="22"/>
          <w:lang w:val="it-IT"/>
        </w:rPr>
        <w:t>legati</w:t>
      </w:r>
      <w:r>
        <w:rPr>
          <w:rFonts w:ascii="Arial" w:hAnsi="Arial" w:cs="Arial"/>
          <w:sz w:val="22"/>
          <w:szCs w:val="22"/>
          <w:lang w:val="it-IT"/>
        </w:rPr>
        <w:t xml:space="preserve"> al trattamento (TRAE) di grado 3-5</w:t>
      </w:r>
      <w:r w:rsidR="00D01095">
        <w:rPr>
          <w:rFonts w:ascii="Arial" w:hAnsi="Arial" w:cs="Arial"/>
          <w:sz w:val="22"/>
          <w:szCs w:val="22"/>
          <w:lang w:val="it-IT"/>
        </w:rPr>
        <w:t xml:space="preserve"> si sono manifestati nel</w:t>
      </w:r>
      <w:r w:rsidR="00FF488B">
        <w:rPr>
          <w:rFonts w:ascii="Arial" w:hAnsi="Arial" w:cs="Arial"/>
          <w:sz w:val="22"/>
          <w:szCs w:val="22"/>
          <w:lang w:val="it-IT"/>
        </w:rPr>
        <w:t xml:space="preserve"> 18,9</w:t>
      </w:r>
      <w:r w:rsidR="00D01095" w:rsidRPr="00D01095">
        <w:rPr>
          <w:rFonts w:ascii="Arial" w:hAnsi="Arial" w:cs="Arial"/>
          <w:sz w:val="22"/>
          <w:szCs w:val="22"/>
          <w:lang w:val="it-IT"/>
        </w:rPr>
        <w:t>%</w:t>
      </w:r>
      <w:r w:rsidR="00D01095">
        <w:rPr>
          <w:rFonts w:ascii="Arial" w:hAnsi="Arial" w:cs="Arial"/>
          <w:sz w:val="22"/>
          <w:szCs w:val="22"/>
          <w:lang w:val="it-IT"/>
        </w:rPr>
        <w:t xml:space="preserve"> dei pazienti inclusi nel braccio pembrolizumab e nel</w:t>
      </w:r>
      <w:r w:rsidR="00FF488B">
        <w:rPr>
          <w:rFonts w:ascii="Arial" w:hAnsi="Arial" w:cs="Arial"/>
          <w:sz w:val="22"/>
          <w:szCs w:val="22"/>
          <w:lang w:val="it-IT"/>
        </w:rPr>
        <w:t>l’1,2</w:t>
      </w:r>
      <w:r w:rsidR="00D01095" w:rsidRPr="00D01095">
        <w:rPr>
          <w:rFonts w:ascii="Arial" w:hAnsi="Arial" w:cs="Arial"/>
          <w:sz w:val="22"/>
          <w:szCs w:val="22"/>
          <w:lang w:val="it-IT"/>
        </w:rPr>
        <w:t>%</w:t>
      </w:r>
      <w:r w:rsidR="00D01095">
        <w:rPr>
          <w:rFonts w:ascii="Arial" w:hAnsi="Arial" w:cs="Arial"/>
          <w:sz w:val="22"/>
          <w:szCs w:val="22"/>
          <w:lang w:val="it-IT"/>
        </w:rPr>
        <w:t xml:space="preserve"> dei pazienti randomizzati a placebo.</w:t>
      </w:r>
      <w:r w:rsidR="00FF488B">
        <w:rPr>
          <w:rFonts w:ascii="Arial" w:hAnsi="Arial" w:cs="Arial"/>
          <w:sz w:val="22"/>
          <w:szCs w:val="22"/>
          <w:lang w:val="it-IT"/>
        </w:rPr>
        <w:t xml:space="preserve"> I TRAE che hanno determinato un’interruzione del trattamento si sono verificati nel 17,6</w:t>
      </w:r>
      <w:r w:rsidR="00F21175">
        <w:rPr>
          <w:rFonts w:ascii="Arial" w:hAnsi="Arial" w:cs="Arial"/>
          <w:sz w:val="22"/>
          <w:szCs w:val="22"/>
          <w:lang w:val="it-IT"/>
        </w:rPr>
        <w:t>%</w:t>
      </w:r>
      <w:r w:rsidR="00FF488B">
        <w:rPr>
          <w:rFonts w:ascii="Arial" w:hAnsi="Arial" w:cs="Arial"/>
          <w:sz w:val="22"/>
          <w:szCs w:val="22"/>
          <w:lang w:val="it-IT"/>
        </w:rPr>
        <w:t xml:space="preserve"> dei pazienti nel braccio pembrolizumab e nello 0,6% del braccio placebo.</w:t>
      </w:r>
      <w:r w:rsidR="00BC72E0">
        <w:rPr>
          <w:rFonts w:ascii="Arial" w:hAnsi="Arial" w:cs="Arial"/>
          <w:sz w:val="22"/>
          <w:szCs w:val="22"/>
          <w:lang w:val="it-IT"/>
        </w:rPr>
        <w:t xml:space="preserve"> </w:t>
      </w:r>
      <w:r w:rsidR="00D01095">
        <w:rPr>
          <w:rFonts w:ascii="Arial" w:hAnsi="Arial" w:cs="Arial"/>
          <w:sz w:val="22"/>
          <w:szCs w:val="22"/>
          <w:lang w:val="it-IT"/>
        </w:rPr>
        <w:t>I TRAE più comuni di ogni grado (</w:t>
      </w:r>
      <w:r w:rsidR="002E3915">
        <w:rPr>
          <w:rFonts w:ascii="Arial" w:hAnsi="Arial" w:cs="Arial"/>
          <w:sz w:val="22"/>
          <w:szCs w:val="22"/>
          <w:lang w:val="it-IT"/>
        </w:rPr>
        <w:t>che si manifestano</w:t>
      </w:r>
      <w:r w:rsidR="00D01095">
        <w:rPr>
          <w:rFonts w:ascii="Arial" w:hAnsi="Arial" w:cs="Arial"/>
          <w:sz w:val="22"/>
          <w:szCs w:val="22"/>
          <w:lang w:val="it-IT"/>
        </w:rPr>
        <w:t xml:space="preserve"> nel </w:t>
      </w:r>
      <w:r w:rsidR="00D01095" w:rsidRPr="00D01095">
        <w:rPr>
          <w:rFonts w:ascii="Arial" w:hAnsi="Arial" w:cs="Arial"/>
          <w:sz w:val="22"/>
          <w:szCs w:val="22"/>
          <w:lang w:val="it-IT"/>
        </w:rPr>
        <w:t>≥</w:t>
      </w:r>
      <w:r w:rsidR="00D01095">
        <w:rPr>
          <w:rFonts w:ascii="Arial" w:hAnsi="Arial" w:cs="Arial"/>
          <w:sz w:val="22"/>
          <w:szCs w:val="22"/>
          <w:lang w:val="it-IT"/>
        </w:rPr>
        <w:t xml:space="preserve"> </w:t>
      </w:r>
      <w:r w:rsidR="00D01095" w:rsidRPr="00D01095">
        <w:rPr>
          <w:rFonts w:ascii="Arial" w:hAnsi="Arial" w:cs="Arial"/>
          <w:sz w:val="22"/>
          <w:szCs w:val="22"/>
          <w:lang w:val="it-IT"/>
        </w:rPr>
        <w:t>5%</w:t>
      </w:r>
      <w:r w:rsidR="00D01095">
        <w:rPr>
          <w:rFonts w:ascii="Arial" w:hAnsi="Arial" w:cs="Arial"/>
          <w:sz w:val="22"/>
          <w:szCs w:val="22"/>
          <w:lang w:val="it-IT"/>
        </w:rPr>
        <w:t xml:space="preserve"> dei pazienti) erano </w:t>
      </w:r>
      <w:r w:rsidR="00FF488B" w:rsidRPr="00FF488B">
        <w:rPr>
          <w:rFonts w:ascii="Arial" w:hAnsi="Arial" w:cs="Arial"/>
          <w:sz w:val="22"/>
          <w:szCs w:val="22"/>
          <w:lang w:val="it-IT"/>
        </w:rPr>
        <w:t>fatigue (20</w:t>
      </w:r>
      <w:r w:rsidR="00FF488B">
        <w:rPr>
          <w:rFonts w:ascii="Arial" w:hAnsi="Arial" w:cs="Arial"/>
          <w:sz w:val="22"/>
          <w:szCs w:val="22"/>
          <w:lang w:val="it-IT"/>
        </w:rPr>
        <w:t>,</w:t>
      </w:r>
      <w:r w:rsidR="00FF488B" w:rsidRPr="00FF488B">
        <w:rPr>
          <w:rFonts w:ascii="Arial" w:hAnsi="Arial" w:cs="Arial"/>
          <w:sz w:val="22"/>
          <w:szCs w:val="22"/>
          <w:lang w:val="it-IT"/>
        </w:rPr>
        <w:t>3%), pruri</w:t>
      </w:r>
      <w:r w:rsidR="00FF488B">
        <w:rPr>
          <w:rFonts w:ascii="Arial" w:hAnsi="Arial" w:cs="Arial"/>
          <w:sz w:val="22"/>
          <w:szCs w:val="22"/>
          <w:lang w:val="it-IT"/>
        </w:rPr>
        <w:t>to</w:t>
      </w:r>
      <w:r w:rsidR="00FF488B" w:rsidRPr="00FF488B">
        <w:rPr>
          <w:rFonts w:ascii="Arial" w:hAnsi="Arial" w:cs="Arial"/>
          <w:sz w:val="22"/>
          <w:szCs w:val="22"/>
          <w:lang w:val="it-IT"/>
        </w:rPr>
        <w:t xml:space="preserve"> (18</w:t>
      </w:r>
      <w:r w:rsidR="00FF488B">
        <w:rPr>
          <w:rFonts w:ascii="Arial" w:hAnsi="Arial" w:cs="Arial"/>
          <w:sz w:val="22"/>
          <w:szCs w:val="22"/>
          <w:lang w:val="it-IT"/>
        </w:rPr>
        <w:t>,</w:t>
      </w:r>
      <w:r w:rsidR="00FF488B" w:rsidRPr="00FF488B">
        <w:rPr>
          <w:rFonts w:ascii="Arial" w:hAnsi="Arial" w:cs="Arial"/>
          <w:sz w:val="22"/>
          <w:szCs w:val="22"/>
          <w:lang w:val="it-IT"/>
        </w:rPr>
        <w:t xml:space="preserve">6%) </w:t>
      </w:r>
      <w:r w:rsidR="00FF488B">
        <w:rPr>
          <w:rFonts w:ascii="Arial" w:hAnsi="Arial" w:cs="Arial"/>
          <w:sz w:val="22"/>
          <w:szCs w:val="22"/>
          <w:lang w:val="it-IT"/>
        </w:rPr>
        <w:t>e ipotiroidismo</w:t>
      </w:r>
      <w:r w:rsidR="00FF488B" w:rsidRPr="00FF488B">
        <w:rPr>
          <w:rFonts w:ascii="Arial" w:hAnsi="Arial" w:cs="Arial"/>
          <w:sz w:val="22"/>
          <w:szCs w:val="22"/>
          <w:lang w:val="it-IT"/>
        </w:rPr>
        <w:t xml:space="preserve"> (17</w:t>
      </w:r>
      <w:r w:rsidR="00FF488B">
        <w:rPr>
          <w:rFonts w:ascii="Arial" w:hAnsi="Arial" w:cs="Arial"/>
          <w:sz w:val="22"/>
          <w:szCs w:val="22"/>
          <w:lang w:val="it-IT"/>
        </w:rPr>
        <w:t>,</w:t>
      </w:r>
      <w:r w:rsidR="00FF488B" w:rsidRPr="00FF488B">
        <w:rPr>
          <w:rFonts w:ascii="Arial" w:hAnsi="Arial" w:cs="Arial"/>
          <w:sz w:val="22"/>
          <w:szCs w:val="22"/>
          <w:lang w:val="it-IT"/>
        </w:rPr>
        <w:t>6%)</w:t>
      </w:r>
      <w:r w:rsidR="00FF488B">
        <w:rPr>
          <w:rFonts w:ascii="Arial" w:hAnsi="Arial" w:cs="Arial"/>
          <w:sz w:val="22"/>
          <w:szCs w:val="22"/>
          <w:lang w:val="it-IT"/>
        </w:rPr>
        <w:t xml:space="preserve"> </w:t>
      </w:r>
      <w:r w:rsidR="00D01095">
        <w:rPr>
          <w:rFonts w:ascii="Arial" w:hAnsi="Arial" w:cs="Arial"/>
          <w:sz w:val="22"/>
          <w:szCs w:val="22"/>
          <w:lang w:val="it-IT"/>
        </w:rPr>
        <w:t>nel braccio pembrolizumab</w:t>
      </w:r>
      <w:r w:rsidR="00FF488B">
        <w:rPr>
          <w:rFonts w:ascii="Arial" w:hAnsi="Arial" w:cs="Arial"/>
          <w:sz w:val="22"/>
          <w:szCs w:val="22"/>
          <w:lang w:val="it-IT"/>
        </w:rPr>
        <w:t xml:space="preserve"> e</w:t>
      </w:r>
      <w:r w:rsidR="00D01095">
        <w:rPr>
          <w:rFonts w:ascii="Arial" w:hAnsi="Arial" w:cs="Arial"/>
          <w:sz w:val="22"/>
          <w:szCs w:val="22"/>
          <w:lang w:val="it-IT"/>
        </w:rPr>
        <w:t xml:space="preserve"> </w:t>
      </w:r>
      <w:r w:rsidR="00FF488B" w:rsidRPr="00FF488B">
        <w:rPr>
          <w:rFonts w:ascii="Arial" w:hAnsi="Arial" w:cs="Arial"/>
          <w:sz w:val="22"/>
          <w:szCs w:val="22"/>
          <w:lang w:val="it-IT"/>
        </w:rPr>
        <w:t>fatigue (14</w:t>
      </w:r>
      <w:r w:rsidR="00FF488B">
        <w:rPr>
          <w:rFonts w:ascii="Arial" w:hAnsi="Arial" w:cs="Arial"/>
          <w:sz w:val="22"/>
          <w:szCs w:val="22"/>
          <w:lang w:val="it-IT"/>
        </w:rPr>
        <w:t>,</w:t>
      </w:r>
      <w:r w:rsidR="00FF488B" w:rsidRPr="00FF488B">
        <w:rPr>
          <w:rFonts w:ascii="Arial" w:hAnsi="Arial" w:cs="Arial"/>
          <w:sz w:val="22"/>
          <w:szCs w:val="22"/>
          <w:lang w:val="it-IT"/>
        </w:rPr>
        <w:t>3%), pruri</w:t>
      </w:r>
      <w:r w:rsidR="00FF488B">
        <w:rPr>
          <w:rFonts w:ascii="Arial" w:hAnsi="Arial" w:cs="Arial"/>
          <w:sz w:val="22"/>
          <w:szCs w:val="22"/>
          <w:lang w:val="it-IT"/>
        </w:rPr>
        <w:t>to</w:t>
      </w:r>
      <w:r w:rsidR="00FF488B" w:rsidRPr="00FF488B">
        <w:rPr>
          <w:rFonts w:ascii="Arial" w:hAnsi="Arial" w:cs="Arial"/>
          <w:sz w:val="22"/>
          <w:szCs w:val="22"/>
          <w:lang w:val="it-IT"/>
        </w:rPr>
        <w:t xml:space="preserve"> (11</w:t>
      </w:r>
      <w:r w:rsidR="00FF488B">
        <w:rPr>
          <w:rFonts w:ascii="Arial" w:hAnsi="Arial" w:cs="Arial"/>
          <w:sz w:val="22"/>
          <w:szCs w:val="22"/>
          <w:lang w:val="it-IT"/>
        </w:rPr>
        <w:t>,</w:t>
      </w:r>
      <w:r w:rsidR="00FF488B" w:rsidRPr="00FF488B">
        <w:rPr>
          <w:rFonts w:ascii="Arial" w:hAnsi="Arial" w:cs="Arial"/>
          <w:sz w:val="22"/>
          <w:szCs w:val="22"/>
          <w:lang w:val="it-IT"/>
        </w:rPr>
        <w:t xml:space="preserve">5%) </w:t>
      </w:r>
      <w:r w:rsidR="00FF488B">
        <w:rPr>
          <w:rFonts w:ascii="Arial" w:hAnsi="Arial" w:cs="Arial"/>
          <w:sz w:val="22"/>
          <w:szCs w:val="22"/>
          <w:lang w:val="it-IT"/>
        </w:rPr>
        <w:t>e diarrea</w:t>
      </w:r>
      <w:r w:rsidR="00FF488B" w:rsidRPr="00FF488B">
        <w:rPr>
          <w:rFonts w:ascii="Arial" w:hAnsi="Arial" w:cs="Arial"/>
          <w:sz w:val="22"/>
          <w:szCs w:val="22"/>
          <w:lang w:val="it-IT"/>
        </w:rPr>
        <w:t xml:space="preserve"> (10</w:t>
      </w:r>
      <w:r w:rsidR="00FF488B">
        <w:rPr>
          <w:rFonts w:ascii="Arial" w:hAnsi="Arial" w:cs="Arial"/>
          <w:sz w:val="22"/>
          <w:szCs w:val="22"/>
          <w:lang w:val="it-IT"/>
        </w:rPr>
        <w:t>,</w:t>
      </w:r>
      <w:r w:rsidR="00FF488B" w:rsidRPr="00FF488B">
        <w:rPr>
          <w:rFonts w:ascii="Arial" w:hAnsi="Arial" w:cs="Arial"/>
          <w:sz w:val="22"/>
          <w:szCs w:val="22"/>
          <w:lang w:val="it-IT"/>
        </w:rPr>
        <w:t>3%)</w:t>
      </w:r>
      <w:r w:rsidR="00FF488B">
        <w:rPr>
          <w:rFonts w:ascii="Arial" w:hAnsi="Arial" w:cs="Arial"/>
          <w:sz w:val="22"/>
          <w:szCs w:val="22"/>
          <w:lang w:val="it-IT"/>
        </w:rPr>
        <w:t xml:space="preserve"> </w:t>
      </w:r>
      <w:r w:rsidR="00D01095">
        <w:rPr>
          <w:rFonts w:ascii="Arial" w:hAnsi="Arial" w:cs="Arial"/>
          <w:sz w:val="22"/>
          <w:szCs w:val="22"/>
          <w:lang w:val="it-IT"/>
        </w:rPr>
        <w:t>nel braccio  placebo. I più frequenti eventi avversi immuno-mediati di ogni grado (</w:t>
      </w:r>
      <w:r w:rsidR="002E3915">
        <w:rPr>
          <w:rFonts w:ascii="Arial" w:hAnsi="Arial" w:cs="Arial"/>
          <w:sz w:val="22"/>
          <w:szCs w:val="22"/>
          <w:lang w:val="it-IT"/>
        </w:rPr>
        <w:t xml:space="preserve">che si manifestano </w:t>
      </w:r>
      <w:r w:rsidR="00D01095">
        <w:rPr>
          <w:rFonts w:ascii="Arial" w:hAnsi="Arial" w:cs="Arial"/>
          <w:sz w:val="22"/>
          <w:szCs w:val="22"/>
          <w:lang w:val="it-IT"/>
        </w:rPr>
        <w:t xml:space="preserve">nel </w:t>
      </w:r>
      <w:r w:rsidR="00D01095" w:rsidRPr="00D01095">
        <w:rPr>
          <w:rFonts w:ascii="Arial" w:hAnsi="Arial" w:cs="Arial"/>
          <w:sz w:val="22"/>
          <w:szCs w:val="22"/>
          <w:lang w:val="it-IT"/>
        </w:rPr>
        <w:t>≥</w:t>
      </w:r>
      <w:r w:rsidR="00D01095">
        <w:rPr>
          <w:rFonts w:ascii="Arial" w:hAnsi="Arial" w:cs="Arial"/>
          <w:sz w:val="22"/>
          <w:szCs w:val="22"/>
          <w:lang w:val="it-IT"/>
        </w:rPr>
        <w:t xml:space="preserve"> 3</w:t>
      </w:r>
      <w:r w:rsidR="00D01095" w:rsidRPr="00D01095">
        <w:rPr>
          <w:rFonts w:ascii="Arial" w:hAnsi="Arial" w:cs="Arial"/>
          <w:sz w:val="22"/>
          <w:szCs w:val="22"/>
          <w:lang w:val="it-IT"/>
        </w:rPr>
        <w:t>%</w:t>
      </w:r>
      <w:r w:rsidR="00D01095">
        <w:rPr>
          <w:rFonts w:ascii="Arial" w:hAnsi="Arial" w:cs="Arial"/>
          <w:sz w:val="22"/>
          <w:szCs w:val="22"/>
          <w:lang w:val="it-IT"/>
        </w:rPr>
        <w:t xml:space="preserve"> dei pazienti) erano</w:t>
      </w:r>
      <w:r w:rsidR="00BC72E0" w:rsidRPr="00BC72E0">
        <w:rPr>
          <w:rFonts w:ascii="Arial" w:hAnsi="Arial" w:cs="Arial"/>
          <w:sz w:val="22"/>
          <w:szCs w:val="22"/>
          <w:lang w:val="it-IT"/>
        </w:rPr>
        <w:t xml:space="preserve"> </w:t>
      </w:r>
      <w:r w:rsidR="00BC72E0">
        <w:rPr>
          <w:rFonts w:ascii="Arial" w:hAnsi="Arial" w:cs="Arial"/>
          <w:sz w:val="22"/>
          <w:szCs w:val="22"/>
          <w:lang w:val="it-IT"/>
        </w:rPr>
        <w:t>ipotiroidismo</w:t>
      </w:r>
      <w:r w:rsidR="00BC72E0" w:rsidRPr="00FF488B">
        <w:rPr>
          <w:rFonts w:ascii="Arial" w:hAnsi="Arial" w:cs="Arial"/>
          <w:sz w:val="22"/>
          <w:szCs w:val="22"/>
          <w:lang w:val="it-IT"/>
        </w:rPr>
        <w:t xml:space="preserve"> (21</w:t>
      </w:r>
      <w:r w:rsidR="00BC72E0">
        <w:rPr>
          <w:rFonts w:ascii="Arial" w:hAnsi="Arial" w:cs="Arial"/>
          <w:sz w:val="22"/>
          <w:szCs w:val="22"/>
          <w:lang w:val="it-IT"/>
        </w:rPr>
        <w:t>,</w:t>
      </w:r>
      <w:r w:rsidR="00BC72E0" w:rsidRPr="00FF488B">
        <w:rPr>
          <w:rFonts w:ascii="Arial" w:hAnsi="Arial" w:cs="Arial"/>
          <w:sz w:val="22"/>
          <w:szCs w:val="22"/>
          <w:lang w:val="it-IT"/>
        </w:rPr>
        <w:t xml:space="preserve">1%) </w:t>
      </w:r>
      <w:r w:rsidR="00BC72E0">
        <w:rPr>
          <w:rFonts w:ascii="Arial" w:hAnsi="Arial" w:cs="Arial"/>
          <w:sz w:val="22"/>
          <w:szCs w:val="22"/>
          <w:lang w:val="it-IT"/>
        </w:rPr>
        <w:t>e</w:t>
      </w:r>
      <w:r w:rsidR="00BC72E0" w:rsidRPr="00FF488B">
        <w:rPr>
          <w:rFonts w:ascii="Arial" w:hAnsi="Arial" w:cs="Arial"/>
          <w:sz w:val="22"/>
          <w:szCs w:val="22"/>
          <w:lang w:val="it-IT"/>
        </w:rPr>
        <w:t xml:space="preserve"> </w:t>
      </w:r>
      <w:r w:rsidR="00BC72E0">
        <w:rPr>
          <w:rFonts w:ascii="Arial" w:hAnsi="Arial" w:cs="Arial"/>
          <w:sz w:val="22"/>
          <w:szCs w:val="22"/>
          <w:lang w:val="it-IT"/>
        </w:rPr>
        <w:t>ipertiroidismo</w:t>
      </w:r>
      <w:r w:rsidR="00BC72E0" w:rsidRPr="00FF488B">
        <w:rPr>
          <w:rFonts w:ascii="Arial" w:hAnsi="Arial" w:cs="Arial"/>
          <w:sz w:val="22"/>
          <w:szCs w:val="22"/>
          <w:lang w:val="it-IT"/>
        </w:rPr>
        <w:t xml:space="preserve"> (11</w:t>
      </w:r>
      <w:r w:rsidR="00BC72E0">
        <w:rPr>
          <w:rFonts w:ascii="Arial" w:hAnsi="Arial" w:cs="Arial"/>
          <w:sz w:val="22"/>
          <w:szCs w:val="22"/>
          <w:lang w:val="it-IT"/>
        </w:rPr>
        <w:t>,</w:t>
      </w:r>
      <w:r w:rsidR="00BC72E0" w:rsidRPr="00FF488B">
        <w:rPr>
          <w:rFonts w:ascii="Arial" w:hAnsi="Arial" w:cs="Arial"/>
          <w:sz w:val="22"/>
          <w:szCs w:val="22"/>
          <w:lang w:val="it-IT"/>
        </w:rPr>
        <w:t xml:space="preserve">9%) </w:t>
      </w:r>
      <w:r w:rsidR="00D01095">
        <w:rPr>
          <w:rFonts w:ascii="Arial" w:hAnsi="Arial" w:cs="Arial"/>
          <w:sz w:val="22"/>
          <w:szCs w:val="22"/>
          <w:lang w:val="it-IT"/>
        </w:rPr>
        <w:t xml:space="preserve">nel </w:t>
      </w:r>
      <w:r w:rsidR="00D01095">
        <w:rPr>
          <w:rFonts w:ascii="Arial" w:hAnsi="Arial" w:cs="Arial"/>
          <w:sz w:val="22"/>
          <w:szCs w:val="22"/>
          <w:lang w:val="it-IT"/>
        </w:rPr>
        <w:lastRenderedPageBreak/>
        <w:t xml:space="preserve">braccio pembrolizumab </w:t>
      </w:r>
      <w:r w:rsidR="00BC72E0">
        <w:rPr>
          <w:rFonts w:ascii="Arial" w:hAnsi="Arial" w:cs="Arial"/>
          <w:sz w:val="22"/>
          <w:szCs w:val="22"/>
          <w:lang w:val="it-IT"/>
        </w:rPr>
        <w:t>e ipotoroidismo</w:t>
      </w:r>
      <w:r w:rsidR="00BC72E0" w:rsidRPr="00FF488B">
        <w:rPr>
          <w:rFonts w:ascii="Arial" w:hAnsi="Arial" w:cs="Arial"/>
          <w:sz w:val="22"/>
          <w:szCs w:val="22"/>
          <w:lang w:val="it-IT"/>
        </w:rPr>
        <w:t xml:space="preserve"> (3</w:t>
      </w:r>
      <w:r w:rsidR="00BC72E0">
        <w:rPr>
          <w:rFonts w:ascii="Arial" w:hAnsi="Arial" w:cs="Arial"/>
          <w:sz w:val="22"/>
          <w:szCs w:val="22"/>
          <w:lang w:val="it-IT"/>
        </w:rPr>
        <w:t>,</w:t>
      </w:r>
      <w:r w:rsidR="00BC72E0" w:rsidRPr="00FF488B">
        <w:rPr>
          <w:rFonts w:ascii="Arial" w:hAnsi="Arial" w:cs="Arial"/>
          <w:sz w:val="22"/>
          <w:szCs w:val="22"/>
          <w:lang w:val="it-IT"/>
        </w:rPr>
        <w:t xml:space="preserve">6%) </w:t>
      </w:r>
      <w:r w:rsidR="00D01095">
        <w:rPr>
          <w:rFonts w:ascii="Arial" w:hAnsi="Arial" w:cs="Arial"/>
          <w:sz w:val="22"/>
          <w:szCs w:val="22"/>
          <w:lang w:val="it-IT"/>
        </w:rPr>
        <w:t xml:space="preserve">nel braccio placebo. </w:t>
      </w:r>
      <w:r w:rsidR="00BC72E0">
        <w:rPr>
          <w:rFonts w:ascii="Arial" w:hAnsi="Arial" w:cs="Arial"/>
          <w:sz w:val="22"/>
          <w:szCs w:val="22"/>
          <w:lang w:val="it-IT"/>
        </w:rPr>
        <w:t xml:space="preserve">Non sono state registrate morti legate al trattamento. </w:t>
      </w:r>
    </w:p>
    <w:p w14:paraId="031045C5" w14:textId="77777777" w:rsidR="00FF488B" w:rsidRPr="00E26E5F" w:rsidRDefault="00FF488B" w:rsidP="00F651F3">
      <w:pPr>
        <w:shd w:val="clear" w:color="auto" w:fill="FFFFFF"/>
        <w:spacing w:line="360" w:lineRule="auto"/>
        <w:contextualSpacing/>
        <w:jc w:val="both"/>
        <w:rPr>
          <w:rFonts w:ascii="Arial" w:hAnsi="Arial" w:cs="Arial"/>
          <w:sz w:val="22"/>
          <w:szCs w:val="22"/>
          <w:lang w:val="it-IT"/>
        </w:rPr>
      </w:pPr>
    </w:p>
    <w:p w14:paraId="287C568B" w14:textId="77777777" w:rsidR="000E06B0" w:rsidRPr="00D01095" w:rsidRDefault="00D01095" w:rsidP="00F651F3">
      <w:pPr>
        <w:shd w:val="clear" w:color="auto" w:fill="FFFFFF"/>
        <w:spacing w:line="360" w:lineRule="auto"/>
        <w:ind w:right="150"/>
        <w:contextualSpacing/>
        <w:jc w:val="both"/>
        <w:rPr>
          <w:rFonts w:ascii="Arial" w:eastAsia="Times New Roman" w:hAnsi="Arial" w:cs="Arial"/>
          <w:b/>
          <w:sz w:val="22"/>
          <w:szCs w:val="22"/>
          <w:lang w:val="it-IT" w:eastAsia="en-US"/>
        </w:rPr>
      </w:pPr>
      <w:r w:rsidRPr="00D01095">
        <w:rPr>
          <w:rFonts w:ascii="Arial" w:eastAsia="Times New Roman" w:hAnsi="Arial" w:cs="Arial"/>
          <w:b/>
          <w:sz w:val="22"/>
          <w:szCs w:val="22"/>
          <w:lang w:val="it-IT" w:eastAsia="en-US"/>
        </w:rPr>
        <w:t>Il</w:t>
      </w:r>
      <w:r w:rsidR="0038258A" w:rsidRPr="00D01095">
        <w:rPr>
          <w:rFonts w:ascii="Arial" w:eastAsia="Times New Roman" w:hAnsi="Arial" w:cs="Arial"/>
          <w:b/>
          <w:sz w:val="22"/>
          <w:szCs w:val="22"/>
          <w:lang w:val="it-IT" w:eastAsia="en-US"/>
        </w:rPr>
        <w:t xml:space="preserve"> </w:t>
      </w:r>
      <w:r w:rsidRPr="00D01095">
        <w:rPr>
          <w:rFonts w:ascii="Arial" w:eastAsia="Times New Roman" w:hAnsi="Arial" w:cs="Arial"/>
          <w:b/>
          <w:sz w:val="22"/>
          <w:szCs w:val="22"/>
          <w:lang w:val="it-IT" w:eastAsia="en-US"/>
        </w:rPr>
        <w:t xml:space="preserve">Carcinoma </w:t>
      </w:r>
      <w:r>
        <w:rPr>
          <w:rFonts w:ascii="Arial" w:eastAsia="Times New Roman" w:hAnsi="Arial" w:cs="Arial"/>
          <w:b/>
          <w:sz w:val="22"/>
          <w:szCs w:val="22"/>
          <w:lang w:val="it-IT" w:eastAsia="en-US"/>
        </w:rPr>
        <w:t xml:space="preserve">a </w:t>
      </w:r>
      <w:r w:rsidRPr="00D01095">
        <w:rPr>
          <w:rFonts w:ascii="Arial" w:eastAsia="Times New Roman" w:hAnsi="Arial" w:cs="Arial"/>
          <w:b/>
          <w:sz w:val="22"/>
          <w:szCs w:val="22"/>
          <w:lang w:val="it-IT" w:eastAsia="en-US"/>
        </w:rPr>
        <w:t>Cell</w:t>
      </w:r>
      <w:r>
        <w:rPr>
          <w:rFonts w:ascii="Arial" w:eastAsia="Times New Roman" w:hAnsi="Arial" w:cs="Arial"/>
          <w:b/>
          <w:sz w:val="22"/>
          <w:szCs w:val="22"/>
          <w:lang w:val="it-IT" w:eastAsia="en-US"/>
        </w:rPr>
        <w:t>ule</w:t>
      </w:r>
      <w:r w:rsidRPr="00D01095">
        <w:rPr>
          <w:rFonts w:ascii="Arial" w:eastAsia="Times New Roman" w:hAnsi="Arial" w:cs="Arial"/>
          <w:b/>
          <w:sz w:val="22"/>
          <w:szCs w:val="22"/>
          <w:lang w:val="it-IT" w:eastAsia="en-US"/>
        </w:rPr>
        <w:t xml:space="preserve"> </w:t>
      </w:r>
      <w:r w:rsidR="000E06B0" w:rsidRPr="00D01095">
        <w:rPr>
          <w:rFonts w:ascii="Arial" w:eastAsia="Times New Roman" w:hAnsi="Arial" w:cs="Arial"/>
          <w:b/>
          <w:sz w:val="22"/>
          <w:szCs w:val="22"/>
          <w:lang w:val="it-IT" w:eastAsia="en-US"/>
        </w:rPr>
        <w:t>Renal</w:t>
      </w:r>
      <w:r>
        <w:rPr>
          <w:rFonts w:ascii="Arial" w:eastAsia="Times New Roman" w:hAnsi="Arial" w:cs="Arial"/>
          <w:b/>
          <w:sz w:val="22"/>
          <w:szCs w:val="22"/>
          <w:lang w:val="it-IT" w:eastAsia="en-US"/>
        </w:rPr>
        <w:t>i</w:t>
      </w:r>
      <w:r w:rsidR="000E06B0" w:rsidRPr="00D01095">
        <w:rPr>
          <w:rFonts w:ascii="Arial" w:eastAsia="Times New Roman" w:hAnsi="Arial" w:cs="Arial"/>
          <w:b/>
          <w:sz w:val="22"/>
          <w:szCs w:val="22"/>
          <w:lang w:val="it-IT" w:eastAsia="en-US"/>
        </w:rPr>
        <w:t xml:space="preserve"> (RCC)</w:t>
      </w:r>
    </w:p>
    <w:p w14:paraId="4510CDD7" w14:textId="2BF6F25D" w:rsidR="00D01095" w:rsidRDefault="00335531" w:rsidP="00F651F3">
      <w:pPr>
        <w:shd w:val="clear" w:color="auto" w:fill="FFFFFF"/>
        <w:spacing w:line="360" w:lineRule="auto"/>
        <w:ind w:right="150" w:firstLine="720"/>
        <w:contextualSpacing/>
        <w:jc w:val="both"/>
        <w:rPr>
          <w:rFonts w:ascii="Arial" w:eastAsia="Times New Roman" w:hAnsi="Arial" w:cs="Arial"/>
          <w:bCs/>
          <w:sz w:val="22"/>
          <w:szCs w:val="22"/>
          <w:lang w:val="it-IT" w:eastAsia="en-US"/>
        </w:rPr>
      </w:pPr>
      <w:r w:rsidRPr="00335531">
        <w:rPr>
          <w:rFonts w:ascii="Arial" w:eastAsia="Times New Roman" w:hAnsi="Arial" w:cs="Arial"/>
          <w:bCs/>
          <w:sz w:val="22"/>
          <w:szCs w:val="22"/>
          <w:lang w:val="it-IT" w:eastAsia="en-US"/>
        </w:rPr>
        <w:t>Il carcinoma a cellule renali (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>RCC</w:t>
      </w:r>
      <w:r w:rsidRPr="00335531">
        <w:rPr>
          <w:rFonts w:ascii="Arial" w:eastAsia="Times New Roman" w:hAnsi="Arial" w:cs="Arial"/>
          <w:bCs/>
          <w:sz w:val="22"/>
          <w:szCs w:val="22"/>
          <w:lang w:val="it-IT" w:eastAsia="en-US"/>
        </w:rPr>
        <w:t>)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è </w:t>
      </w:r>
      <w:r w:rsidR="00F211F5">
        <w:rPr>
          <w:rFonts w:ascii="Arial" w:eastAsia="Times New Roman" w:hAnsi="Arial" w:cs="Arial"/>
          <w:bCs/>
          <w:sz w:val="22"/>
          <w:szCs w:val="22"/>
          <w:lang w:val="it-IT" w:eastAsia="en-US"/>
        </w:rPr>
        <w:t>senza dubbio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il più comune tipo di tumore del rene: circa nove su 10 </w:t>
      </w:r>
      <w:r w:rsidR="00F211F5">
        <w:rPr>
          <w:rFonts w:ascii="Arial" w:eastAsia="Times New Roman" w:hAnsi="Arial" w:cs="Arial"/>
          <w:bCs/>
          <w:sz w:val="22"/>
          <w:szCs w:val="22"/>
          <w:lang w:val="it-IT" w:eastAsia="en-US"/>
        </w:rPr>
        <w:t>casi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sono RCC. Il carcinoma a cellule renali è circa due volte più comune negli uomini che nelle donne. La maggior parte d</w:t>
      </w:r>
      <w:r w:rsidR="002E3915">
        <w:rPr>
          <w:rFonts w:ascii="Arial" w:eastAsia="Times New Roman" w:hAnsi="Arial" w:cs="Arial"/>
          <w:bCs/>
          <w:sz w:val="22"/>
          <w:szCs w:val="22"/>
          <w:lang w:val="it-IT" w:eastAsia="en-US"/>
        </w:rPr>
        <w:t>egl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i RCC </w:t>
      </w:r>
      <w:r w:rsidR="002E3915">
        <w:rPr>
          <w:rFonts w:ascii="Arial" w:eastAsia="Times New Roman" w:hAnsi="Arial" w:cs="Arial"/>
          <w:bCs/>
          <w:sz w:val="22"/>
          <w:szCs w:val="22"/>
          <w:lang w:val="it-IT" w:eastAsia="en-US"/>
        </w:rPr>
        <w:t>viene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scopert</w:t>
      </w:r>
      <w:r w:rsidR="002E3915">
        <w:rPr>
          <w:rFonts w:ascii="Arial" w:eastAsia="Times New Roman" w:hAnsi="Arial" w:cs="Arial"/>
          <w:bCs/>
          <w:sz w:val="22"/>
          <w:szCs w:val="22"/>
          <w:lang w:val="it-IT" w:eastAsia="en-US"/>
        </w:rPr>
        <w:t>a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accidentalmente</w:t>
      </w:r>
      <w:r w:rsidR="002E3915">
        <w:rPr>
          <w:rFonts w:ascii="Arial" w:eastAsia="Times New Roman" w:hAnsi="Arial" w:cs="Arial"/>
          <w:bCs/>
          <w:sz w:val="22"/>
          <w:szCs w:val="22"/>
          <w:lang w:val="it-IT" w:eastAsia="en-US"/>
        </w:rPr>
        <w:t>,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durante </w:t>
      </w:r>
      <w:r w:rsidR="00B84A75"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accertamenti diagnostici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</w:t>
      </w:r>
      <w:r w:rsidR="004F4D43"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eseguiti 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per altre malattie addominali. </w:t>
      </w:r>
      <w:r w:rsidR="004F4D43">
        <w:rPr>
          <w:rFonts w:ascii="Arial" w:eastAsia="Times New Roman" w:hAnsi="Arial" w:cs="Arial"/>
          <w:bCs/>
          <w:sz w:val="22"/>
          <w:szCs w:val="22"/>
          <w:lang w:val="it-IT" w:eastAsia="en-US"/>
        </w:rPr>
        <w:t>A livello mondiale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si stima che</w:t>
      </w:r>
      <w:r w:rsidR="004F4D43">
        <w:rPr>
          <w:rFonts w:ascii="Arial" w:eastAsia="Times New Roman" w:hAnsi="Arial" w:cs="Arial"/>
          <w:bCs/>
          <w:sz w:val="22"/>
          <w:szCs w:val="22"/>
          <w:lang w:val="it-IT" w:eastAsia="en-US"/>
        </w:rPr>
        <w:t>,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nel 20</w:t>
      </w:r>
      <w:r w:rsidR="002E3915">
        <w:rPr>
          <w:rFonts w:ascii="Arial" w:eastAsia="Times New Roman" w:hAnsi="Arial" w:cs="Arial"/>
          <w:bCs/>
          <w:sz w:val="22"/>
          <w:szCs w:val="22"/>
          <w:lang w:val="it-IT" w:eastAsia="en-US"/>
        </w:rPr>
        <w:t>2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>0</w:t>
      </w:r>
      <w:r w:rsidR="004F4D43">
        <w:rPr>
          <w:rFonts w:ascii="Arial" w:eastAsia="Times New Roman" w:hAnsi="Arial" w:cs="Arial"/>
          <w:bCs/>
          <w:sz w:val="22"/>
          <w:szCs w:val="22"/>
          <w:lang w:val="it-IT" w:eastAsia="en-US"/>
        </w:rPr>
        <w:t>,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siano stati diagnosticati quasi 431.</w:t>
      </w:r>
      <w:r w:rsidR="002E3915">
        <w:rPr>
          <w:rFonts w:ascii="Arial" w:eastAsia="Times New Roman" w:hAnsi="Arial" w:cs="Arial"/>
          <w:bCs/>
          <w:sz w:val="22"/>
          <w:szCs w:val="22"/>
          <w:lang w:val="it-IT" w:eastAsia="en-US"/>
        </w:rPr>
        <w:t>3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>00 nuovi casi di tumore del rene e quasi 179.</w:t>
      </w:r>
      <w:r w:rsidR="00B8590C">
        <w:rPr>
          <w:rFonts w:ascii="Arial" w:eastAsia="Times New Roman" w:hAnsi="Arial" w:cs="Arial"/>
          <w:bCs/>
          <w:sz w:val="22"/>
          <w:szCs w:val="22"/>
          <w:lang w:val="it-IT" w:eastAsia="en-US"/>
        </w:rPr>
        <w:t>4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>00</w:t>
      </w:r>
      <w:r w:rsidR="002E3915"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siano stati i decessi</w:t>
      </w:r>
      <w:r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per questa malattia. </w:t>
      </w:r>
      <w:r w:rsidR="00764066"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Nel 2021, </w:t>
      </w:r>
      <w:r w:rsidR="002E3915"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solamente </w:t>
      </w:r>
      <w:r w:rsidR="00764066">
        <w:rPr>
          <w:rFonts w:ascii="Arial" w:eastAsia="Times New Roman" w:hAnsi="Arial" w:cs="Arial"/>
          <w:bCs/>
          <w:sz w:val="22"/>
          <w:szCs w:val="22"/>
          <w:lang w:val="it-IT" w:eastAsia="en-US"/>
        </w:rPr>
        <w:t>negli Stati Uniti, si stima</w:t>
      </w:r>
      <w:r w:rsidR="007C30F1"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che</w:t>
      </w:r>
      <w:r w:rsidR="00764066"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</w:t>
      </w:r>
      <w:r w:rsidR="002E3915">
        <w:rPr>
          <w:rFonts w:ascii="Arial" w:eastAsia="Times New Roman" w:hAnsi="Arial" w:cs="Arial"/>
          <w:bCs/>
          <w:sz w:val="22"/>
          <w:szCs w:val="22"/>
          <w:lang w:val="it-IT" w:eastAsia="en-US"/>
        </w:rPr>
        <w:t>saranno</w:t>
      </w:r>
      <w:r w:rsidR="00764066"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 diagnosticati quasi 76.100 nuovi casi di tumore del rene e quasi 13.800 </w:t>
      </w:r>
      <w:r w:rsidR="002E3915"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saranno le </w:t>
      </w:r>
      <w:r w:rsidR="00764066">
        <w:rPr>
          <w:rFonts w:ascii="Arial" w:eastAsia="Times New Roman" w:hAnsi="Arial" w:cs="Arial"/>
          <w:bCs/>
          <w:sz w:val="22"/>
          <w:szCs w:val="22"/>
          <w:lang w:val="it-IT" w:eastAsia="en-US"/>
        </w:rPr>
        <w:t xml:space="preserve">morti </w:t>
      </w:r>
      <w:r w:rsidR="006728F1">
        <w:rPr>
          <w:rFonts w:ascii="Arial" w:eastAsia="Times New Roman" w:hAnsi="Arial" w:cs="Arial"/>
          <w:bCs/>
          <w:sz w:val="22"/>
          <w:szCs w:val="22"/>
          <w:lang w:val="it-IT" w:eastAsia="en-US"/>
        </w:rPr>
        <w:t>causate da questa neoplasia</w:t>
      </w:r>
      <w:r w:rsidR="00764066">
        <w:rPr>
          <w:rFonts w:ascii="Arial" w:eastAsia="Times New Roman" w:hAnsi="Arial" w:cs="Arial"/>
          <w:bCs/>
          <w:sz w:val="22"/>
          <w:szCs w:val="22"/>
          <w:lang w:val="it-IT" w:eastAsia="en-US"/>
        </w:rPr>
        <w:t>.</w:t>
      </w:r>
    </w:p>
    <w:p w14:paraId="30B5858D" w14:textId="5825DB40" w:rsidR="00335531" w:rsidRDefault="00335531" w:rsidP="00F651F3">
      <w:pPr>
        <w:shd w:val="clear" w:color="auto" w:fill="FFFFFF"/>
        <w:spacing w:line="360" w:lineRule="auto"/>
        <w:ind w:right="150"/>
        <w:contextualSpacing/>
        <w:jc w:val="both"/>
        <w:rPr>
          <w:rFonts w:ascii="Arial" w:eastAsia="Times New Roman" w:hAnsi="Arial" w:cs="Arial"/>
          <w:bCs/>
          <w:sz w:val="22"/>
          <w:szCs w:val="22"/>
          <w:lang w:val="it-IT" w:eastAsia="en-US"/>
        </w:rPr>
      </w:pPr>
    </w:p>
    <w:p w14:paraId="3F5903E9" w14:textId="77777777" w:rsidR="00F651F3" w:rsidRPr="00335531" w:rsidRDefault="00F651F3" w:rsidP="00F651F3">
      <w:pPr>
        <w:shd w:val="clear" w:color="auto" w:fill="FFFFFF"/>
        <w:spacing w:line="360" w:lineRule="auto"/>
        <w:ind w:right="150"/>
        <w:contextualSpacing/>
        <w:jc w:val="both"/>
        <w:rPr>
          <w:rFonts w:ascii="Arial" w:eastAsia="Times New Roman" w:hAnsi="Arial" w:cs="Arial"/>
          <w:bCs/>
          <w:sz w:val="22"/>
          <w:szCs w:val="22"/>
          <w:lang w:val="it-IT" w:eastAsia="en-US"/>
        </w:rPr>
      </w:pPr>
    </w:p>
    <w:p w14:paraId="74DD49C3" w14:textId="77777777" w:rsidR="00F651F3" w:rsidRPr="00F651F3" w:rsidRDefault="00F651F3" w:rsidP="00F651F3">
      <w:pPr>
        <w:spacing w:line="360" w:lineRule="auto"/>
        <w:rPr>
          <w:rFonts w:ascii="Arial" w:eastAsiaTheme="minorEastAsia" w:hAnsi="Arial" w:cs="Arial"/>
          <w:b/>
          <w:color w:val="000000"/>
          <w:sz w:val="22"/>
          <w:lang w:val="it-IT"/>
        </w:rPr>
      </w:pPr>
      <w:bookmarkStart w:id="3" w:name="_Hlk40179936"/>
      <w:bookmarkEnd w:id="0"/>
      <w:r w:rsidRPr="00F651F3">
        <w:rPr>
          <w:rFonts w:ascii="Arial" w:eastAsiaTheme="minorEastAsia" w:hAnsi="Arial" w:cs="Arial"/>
          <w:b/>
          <w:color w:val="000000"/>
          <w:sz w:val="22"/>
          <w:lang w:val="it-IT"/>
        </w:rPr>
        <w:t>Per informazioni</w:t>
      </w:r>
    </w:p>
    <w:p w14:paraId="6863C47C" w14:textId="77777777" w:rsidR="00F651F3" w:rsidRPr="00F651F3" w:rsidRDefault="00F651F3" w:rsidP="00F651F3">
      <w:pPr>
        <w:spacing w:line="360" w:lineRule="auto"/>
        <w:rPr>
          <w:rFonts w:ascii="Arial" w:eastAsiaTheme="minorEastAsia" w:hAnsi="Arial" w:cs="Arial"/>
          <w:b/>
          <w:color w:val="000000"/>
          <w:sz w:val="22"/>
          <w:lang w:val="it-IT"/>
        </w:rPr>
      </w:pPr>
      <w:r w:rsidRPr="00F651F3">
        <w:rPr>
          <w:rFonts w:ascii="Arial" w:eastAsiaTheme="minorEastAsia" w:hAnsi="Arial" w:cs="Arial"/>
          <w:b/>
          <w:color w:val="000000"/>
          <w:sz w:val="22"/>
          <w:lang w:val="it-IT"/>
        </w:rPr>
        <w:t>MSD Italia</w:t>
      </w:r>
    </w:p>
    <w:p w14:paraId="5675B29F" w14:textId="77777777" w:rsidR="00F651F3" w:rsidRPr="00F651F3" w:rsidRDefault="00F651F3" w:rsidP="00F651F3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622"/>
        </w:tabs>
        <w:spacing w:line="360" w:lineRule="auto"/>
        <w:ind w:right="4"/>
        <w:rPr>
          <w:rFonts w:ascii="Arial" w:eastAsiaTheme="minorEastAsia" w:hAnsi="Arial" w:cs="Arial"/>
          <w:color w:val="000000"/>
          <w:sz w:val="22"/>
          <w:lang w:val="it-IT"/>
        </w:rPr>
      </w:pPr>
      <w:r w:rsidRPr="00F651F3">
        <w:rPr>
          <w:rFonts w:ascii="Arial" w:eastAsiaTheme="minorEastAsia" w:hAnsi="Arial" w:cs="Arial"/>
          <w:color w:val="000000"/>
          <w:sz w:val="22"/>
          <w:lang w:val="it-IT"/>
        </w:rPr>
        <w:t>Emanuela Tanini, Communication Associate Director</w:t>
      </w:r>
    </w:p>
    <w:p w14:paraId="7C5254FA" w14:textId="77777777" w:rsidR="00F651F3" w:rsidRPr="00F651F3" w:rsidRDefault="00F651F3" w:rsidP="00F651F3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622"/>
        </w:tabs>
        <w:spacing w:line="360" w:lineRule="auto"/>
        <w:ind w:right="4"/>
        <w:rPr>
          <w:rFonts w:ascii="Arial" w:eastAsiaTheme="minorEastAsia" w:hAnsi="Arial" w:cs="Arial"/>
          <w:sz w:val="22"/>
          <w:szCs w:val="22"/>
        </w:rPr>
      </w:pPr>
      <w:r w:rsidRPr="00F651F3">
        <w:rPr>
          <w:rFonts w:ascii="Arial" w:eastAsiaTheme="minorEastAsia" w:hAnsi="Arial" w:cs="Arial"/>
          <w:color w:val="000000"/>
          <w:sz w:val="22"/>
        </w:rPr>
        <w:t xml:space="preserve">Tel. 06.361.917.01; Cell. 335.652.4938 - </w:t>
      </w:r>
      <w:r w:rsidRPr="00F651F3">
        <w:rPr>
          <w:rFonts w:ascii="Arial" w:eastAsiaTheme="minorEastAsia" w:hAnsi="Arial" w:cs="Arial"/>
          <w:color w:val="000000"/>
          <w:sz w:val="22"/>
          <w:lang w:val="en-GB"/>
        </w:rPr>
        <w:t>emanuela_tanini@merck.com</w:t>
      </w:r>
      <w:bookmarkEnd w:id="3"/>
    </w:p>
    <w:p w14:paraId="66F4D53B" w14:textId="19D13556" w:rsidR="004F4D43" w:rsidRPr="002E76B2" w:rsidRDefault="004F4D43" w:rsidP="00091727">
      <w:pPr>
        <w:pStyle w:val="NormaleWeb"/>
        <w:spacing w:before="0" w:beforeAutospacing="0" w:after="0" w:afterAutospacing="0"/>
        <w:rPr>
          <w:rFonts w:ascii="Arial" w:hAnsi="Arial" w:cs="Arial"/>
          <w:bCs/>
          <w:color w:val="000000"/>
          <w:sz w:val="22"/>
          <w:szCs w:val="22"/>
        </w:rPr>
      </w:pPr>
    </w:p>
    <w:sectPr w:rsidR="004F4D43" w:rsidRPr="002E76B2" w:rsidSect="00745823">
      <w:headerReference w:type="even" r:id="rId18"/>
      <w:headerReference w:type="default" r:id="rId19"/>
      <w:headerReference w:type="first" r:id="rId20"/>
      <w:pgSz w:w="12240" w:h="15840"/>
      <w:pgMar w:top="1440" w:right="1440" w:bottom="1260" w:left="1440" w:header="720" w:footer="720" w:gutter="0"/>
      <w:pgNumType w:fmt="numberInDash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0C4E6" w14:textId="77777777" w:rsidR="00B81620" w:rsidRDefault="00B81620">
      <w:r>
        <w:separator/>
      </w:r>
    </w:p>
  </w:endnote>
  <w:endnote w:type="continuationSeparator" w:id="0">
    <w:p w14:paraId="430FD363" w14:textId="77777777" w:rsidR="00B81620" w:rsidRDefault="00B81620">
      <w:r>
        <w:continuationSeparator/>
      </w:r>
    </w:p>
  </w:endnote>
  <w:endnote w:type="continuationNotice" w:id="1">
    <w:p w14:paraId="53BB4AC2" w14:textId="77777777" w:rsidR="00B81620" w:rsidRDefault="00B816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vention Light">
    <w:charset w:val="00"/>
    <w:family w:val="swiss"/>
    <w:pitch w:val="variable"/>
    <w:sig w:usb0="A000006F" w:usb1="4000004B" w:usb2="00000000" w:usb3="00000000" w:csb0="0000001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AC83D" w14:textId="77777777" w:rsidR="00B81620" w:rsidRDefault="00B81620">
      <w:r>
        <w:separator/>
      </w:r>
    </w:p>
  </w:footnote>
  <w:footnote w:type="continuationSeparator" w:id="0">
    <w:p w14:paraId="2F85DC24" w14:textId="77777777" w:rsidR="00B81620" w:rsidRDefault="00B81620">
      <w:r>
        <w:continuationSeparator/>
      </w:r>
    </w:p>
  </w:footnote>
  <w:footnote w:type="continuationNotice" w:id="1">
    <w:p w14:paraId="6C5C789F" w14:textId="77777777" w:rsidR="00B81620" w:rsidRDefault="00B8162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8477A" w14:textId="77777777" w:rsidR="00DC2E11" w:rsidRDefault="00367A42" w:rsidP="00D41F9C">
    <w:pPr>
      <w:pStyle w:val="Intestazione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DC2E11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7C8AEE6E" w14:textId="77777777" w:rsidR="00DC2E11" w:rsidRDefault="00DC2E1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40F48" w14:textId="77777777" w:rsidR="00DC2E11" w:rsidRPr="00745823" w:rsidRDefault="00367A42" w:rsidP="00D41F9C">
    <w:pPr>
      <w:pStyle w:val="Intestazione"/>
      <w:framePr w:wrap="around" w:vAnchor="text" w:hAnchor="margin" w:xAlign="center" w:y="1"/>
      <w:rPr>
        <w:rStyle w:val="Numeropagina"/>
        <w:rFonts w:ascii="Arial" w:hAnsi="Arial" w:cs="Arial"/>
        <w:sz w:val="22"/>
        <w:szCs w:val="22"/>
      </w:rPr>
    </w:pPr>
    <w:r w:rsidRPr="00745823">
      <w:rPr>
        <w:rStyle w:val="Numeropagina"/>
        <w:rFonts w:ascii="Arial" w:hAnsi="Arial" w:cs="Arial"/>
        <w:sz w:val="22"/>
        <w:szCs w:val="22"/>
      </w:rPr>
      <w:fldChar w:fldCharType="begin"/>
    </w:r>
    <w:r w:rsidR="00DC2E11" w:rsidRPr="00745823">
      <w:rPr>
        <w:rStyle w:val="Numeropagina"/>
        <w:rFonts w:ascii="Arial" w:hAnsi="Arial" w:cs="Arial"/>
        <w:sz w:val="22"/>
        <w:szCs w:val="22"/>
      </w:rPr>
      <w:instrText xml:space="preserve">PAGE  </w:instrText>
    </w:r>
    <w:r w:rsidRPr="00745823">
      <w:rPr>
        <w:rStyle w:val="Numeropagina"/>
        <w:rFonts w:ascii="Arial" w:hAnsi="Arial" w:cs="Arial"/>
        <w:sz w:val="22"/>
        <w:szCs w:val="22"/>
      </w:rPr>
      <w:fldChar w:fldCharType="separate"/>
    </w:r>
    <w:r w:rsidR="006E0510">
      <w:rPr>
        <w:rStyle w:val="Numeropagina"/>
        <w:rFonts w:ascii="Arial" w:hAnsi="Arial" w:cs="Arial"/>
        <w:noProof/>
        <w:sz w:val="22"/>
        <w:szCs w:val="22"/>
      </w:rPr>
      <w:t>- 5 -</w:t>
    </w:r>
    <w:r w:rsidRPr="00745823">
      <w:rPr>
        <w:rStyle w:val="Numeropagina"/>
        <w:rFonts w:ascii="Arial" w:hAnsi="Arial" w:cs="Arial"/>
        <w:sz w:val="22"/>
        <w:szCs w:val="22"/>
      </w:rPr>
      <w:fldChar w:fldCharType="end"/>
    </w:r>
  </w:p>
  <w:p w14:paraId="6B0B18CB" w14:textId="77777777" w:rsidR="00DC2E11" w:rsidRDefault="00DC2E11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052FB" w14:textId="6ADC7AB1" w:rsidR="00F651F3" w:rsidRDefault="00F651F3">
    <w:pPr>
      <w:pStyle w:val="Intestazione"/>
    </w:pPr>
    <w:r w:rsidRPr="007758C6">
      <w:rPr>
        <w:noProof/>
        <w:lang w:val="it-IT" w:eastAsia="it-IT"/>
      </w:rPr>
      <w:drawing>
        <wp:inline distT="0" distB="0" distL="0" distR="0" wp14:anchorId="275BD236" wp14:editId="089C297A">
          <wp:extent cx="2383790" cy="963295"/>
          <wp:effectExtent l="0" t="0" r="0" b="825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3790" cy="963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6481E"/>
    <w:multiLevelType w:val="hybridMultilevel"/>
    <w:tmpl w:val="69ECE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24346F"/>
    <w:multiLevelType w:val="hybridMultilevel"/>
    <w:tmpl w:val="70143F9A"/>
    <w:lvl w:ilvl="0" w:tplc="7F5C66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F62F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4AEB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7CF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7038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F06E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D0E1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56B2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C6C7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39803A9"/>
    <w:multiLevelType w:val="hybridMultilevel"/>
    <w:tmpl w:val="485EA0EC"/>
    <w:lvl w:ilvl="0" w:tplc="F704D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9E02272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Invention Light" w:hAnsi="Invention Light" w:hint="default"/>
      </w:rPr>
    </w:lvl>
    <w:lvl w:ilvl="2" w:tplc="51327C6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43C0B8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7F0EC93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1CAE986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363CFC1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0F6C4F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EC76FEA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3" w15:restartNumberingAfterBreak="0">
    <w:nsid w:val="087E0C3A"/>
    <w:multiLevelType w:val="hybridMultilevel"/>
    <w:tmpl w:val="94DC5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D57E5"/>
    <w:multiLevelType w:val="hybridMultilevel"/>
    <w:tmpl w:val="6F8CD7AC"/>
    <w:lvl w:ilvl="0" w:tplc="6188FD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2BB646D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0BF893B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9152911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902A0E9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DC50A55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19E2777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EDEC252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3604C88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5" w15:restartNumberingAfterBreak="0">
    <w:nsid w:val="101644B7"/>
    <w:multiLevelType w:val="hybridMultilevel"/>
    <w:tmpl w:val="A7B44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D72699"/>
    <w:multiLevelType w:val="hybridMultilevel"/>
    <w:tmpl w:val="D27C58B4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1B182296"/>
    <w:multiLevelType w:val="hybridMultilevel"/>
    <w:tmpl w:val="F9CEE042"/>
    <w:lvl w:ilvl="0" w:tplc="6F56ABE4">
      <w:start w:val="30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2977B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3C31B33"/>
    <w:multiLevelType w:val="hybridMultilevel"/>
    <w:tmpl w:val="7732276A"/>
    <w:lvl w:ilvl="0" w:tplc="67466C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3A3618"/>
    <w:multiLevelType w:val="hybridMultilevel"/>
    <w:tmpl w:val="D0805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023A15"/>
    <w:multiLevelType w:val="hybridMultilevel"/>
    <w:tmpl w:val="1564F996"/>
    <w:lvl w:ilvl="0" w:tplc="C4AC80AE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551365"/>
    <w:multiLevelType w:val="multilevel"/>
    <w:tmpl w:val="9DA09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F70E32"/>
    <w:multiLevelType w:val="hybridMultilevel"/>
    <w:tmpl w:val="703298F4"/>
    <w:lvl w:ilvl="0" w:tplc="42F631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A295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AC6D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E8CF8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967B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4EDD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E6B4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1E9B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402C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657731B"/>
    <w:multiLevelType w:val="hybridMultilevel"/>
    <w:tmpl w:val="5B82E43E"/>
    <w:lvl w:ilvl="0" w:tplc="CD68B7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6A6BE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BAFE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0E98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6A0A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4277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C027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9C96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C28C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7AE460D"/>
    <w:multiLevelType w:val="hybridMultilevel"/>
    <w:tmpl w:val="2ACC5358"/>
    <w:lvl w:ilvl="0" w:tplc="E820A1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AA305C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EB365E"/>
    <w:multiLevelType w:val="hybridMultilevel"/>
    <w:tmpl w:val="EB5CE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B74B34"/>
    <w:multiLevelType w:val="hybridMultilevel"/>
    <w:tmpl w:val="A8DC8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405A3A"/>
    <w:multiLevelType w:val="hybridMultilevel"/>
    <w:tmpl w:val="6B8EB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B66D37"/>
    <w:multiLevelType w:val="hybridMultilevel"/>
    <w:tmpl w:val="973A3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DC987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6FC0995A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  <w:color w:val="auto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F649C2"/>
    <w:multiLevelType w:val="hybridMultilevel"/>
    <w:tmpl w:val="BD389F94"/>
    <w:lvl w:ilvl="0" w:tplc="AD7CEEA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62D2727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4534D44"/>
    <w:multiLevelType w:val="hybridMultilevel"/>
    <w:tmpl w:val="52144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A97574"/>
    <w:multiLevelType w:val="hybridMultilevel"/>
    <w:tmpl w:val="4336F542"/>
    <w:lvl w:ilvl="0" w:tplc="9238FC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223B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F28E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14C1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8E5E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52EF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0071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D004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7C2C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5923530C"/>
    <w:multiLevelType w:val="hybridMultilevel"/>
    <w:tmpl w:val="6EB48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AB5ED3"/>
    <w:multiLevelType w:val="hybridMultilevel"/>
    <w:tmpl w:val="93EC7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503F91"/>
    <w:multiLevelType w:val="hybridMultilevel"/>
    <w:tmpl w:val="311EA05A"/>
    <w:lvl w:ilvl="0" w:tplc="4E0C9890">
      <w:start w:val="30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DC417D"/>
    <w:multiLevelType w:val="hybridMultilevel"/>
    <w:tmpl w:val="282A50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CD74A3B"/>
    <w:multiLevelType w:val="hybridMultilevel"/>
    <w:tmpl w:val="BA3AC156"/>
    <w:lvl w:ilvl="0" w:tplc="965E1B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7D42F12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07525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75521E41"/>
    <w:multiLevelType w:val="hybridMultilevel"/>
    <w:tmpl w:val="AFA26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0874F1"/>
    <w:multiLevelType w:val="hybridMultilevel"/>
    <w:tmpl w:val="2CA040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8B638AD"/>
    <w:multiLevelType w:val="hybridMultilevel"/>
    <w:tmpl w:val="1AE2B2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BA531D0"/>
    <w:multiLevelType w:val="hybridMultilevel"/>
    <w:tmpl w:val="B0A08250"/>
    <w:lvl w:ilvl="0" w:tplc="8E908D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626CD8"/>
    <w:multiLevelType w:val="singleLevel"/>
    <w:tmpl w:val="AE58025C"/>
    <w:lvl w:ilvl="0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abstractNum w:abstractNumId="34" w15:restartNumberingAfterBreak="0">
    <w:nsid w:val="7E3F09C9"/>
    <w:multiLevelType w:val="hybridMultilevel"/>
    <w:tmpl w:val="49DA8186"/>
    <w:lvl w:ilvl="0" w:tplc="6B449C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C42A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9278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FC70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342D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4827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78DF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27F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2EA9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8"/>
  </w:num>
  <w:num w:numId="2">
    <w:abstractNumId w:val="33"/>
  </w:num>
  <w:num w:numId="3">
    <w:abstractNumId w:val="8"/>
  </w:num>
  <w:num w:numId="4">
    <w:abstractNumId w:val="7"/>
  </w:num>
  <w:num w:numId="5">
    <w:abstractNumId w:val="25"/>
  </w:num>
  <w:num w:numId="6">
    <w:abstractNumId w:val="30"/>
  </w:num>
  <w:num w:numId="7">
    <w:abstractNumId w:val="0"/>
  </w:num>
  <w:num w:numId="8">
    <w:abstractNumId w:val="29"/>
  </w:num>
  <w:num w:numId="9">
    <w:abstractNumId w:val="11"/>
  </w:num>
  <w:num w:numId="10">
    <w:abstractNumId w:val="26"/>
  </w:num>
  <w:num w:numId="11">
    <w:abstractNumId w:val="31"/>
  </w:num>
  <w:num w:numId="12">
    <w:abstractNumId w:val="19"/>
  </w:num>
  <w:num w:numId="13">
    <w:abstractNumId w:val="15"/>
  </w:num>
  <w:num w:numId="14">
    <w:abstractNumId w:val="13"/>
  </w:num>
  <w:num w:numId="15">
    <w:abstractNumId w:val="34"/>
  </w:num>
  <w:num w:numId="16">
    <w:abstractNumId w:val="2"/>
  </w:num>
  <w:num w:numId="17">
    <w:abstractNumId w:val="1"/>
  </w:num>
  <w:num w:numId="18">
    <w:abstractNumId w:val="27"/>
  </w:num>
  <w:num w:numId="19">
    <w:abstractNumId w:val="16"/>
  </w:num>
  <w:num w:numId="20">
    <w:abstractNumId w:val="6"/>
  </w:num>
  <w:num w:numId="21">
    <w:abstractNumId w:val="17"/>
  </w:num>
  <w:num w:numId="22">
    <w:abstractNumId w:val="20"/>
  </w:num>
  <w:num w:numId="23">
    <w:abstractNumId w:val="10"/>
  </w:num>
  <w:num w:numId="24">
    <w:abstractNumId w:val="21"/>
  </w:num>
  <w:num w:numId="25">
    <w:abstractNumId w:val="4"/>
  </w:num>
  <w:num w:numId="26">
    <w:abstractNumId w:val="24"/>
  </w:num>
  <w:num w:numId="27">
    <w:abstractNumId w:val="12"/>
  </w:num>
  <w:num w:numId="28">
    <w:abstractNumId w:val="5"/>
  </w:num>
  <w:num w:numId="29">
    <w:abstractNumId w:val="3"/>
  </w:num>
  <w:num w:numId="30">
    <w:abstractNumId w:val="14"/>
  </w:num>
  <w:num w:numId="31">
    <w:abstractNumId w:val="18"/>
  </w:num>
  <w:num w:numId="32">
    <w:abstractNumId w:val="23"/>
  </w:num>
  <w:num w:numId="33">
    <w:abstractNumId w:val="22"/>
  </w:num>
  <w:num w:numId="34">
    <w:abstractNumId w:val="32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7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823"/>
    <w:rsid w:val="00001A28"/>
    <w:rsid w:val="00001ACB"/>
    <w:rsid w:val="0000229E"/>
    <w:rsid w:val="0000341C"/>
    <w:rsid w:val="00003C2E"/>
    <w:rsid w:val="000049D0"/>
    <w:rsid w:val="00005275"/>
    <w:rsid w:val="0000761C"/>
    <w:rsid w:val="000105C8"/>
    <w:rsid w:val="0001076B"/>
    <w:rsid w:val="000118B6"/>
    <w:rsid w:val="00011AF9"/>
    <w:rsid w:val="00012474"/>
    <w:rsid w:val="00012986"/>
    <w:rsid w:val="00012D1D"/>
    <w:rsid w:val="00012FA2"/>
    <w:rsid w:val="0001513C"/>
    <w:rsid w:val="00015BA1"/>
    <w:rsid w:val="00015F84"/>
    <w:rsid w:val="00016124"/>
    <w:rsid w:val="000169E7"/>
    <w:rsid w:val="0002250F"/>
    <w:rsid w:val="00024429"/>
    <w:rsid w:val="00024D11"/>
    <w:rsid w:val="0002593A"/>
    <w:rsid w:val="00026A5D"/>
    <w:rsid w:val="00026E29"/>
    <w:rsid w:val="00027044"/>
    <w:rsid w:val="00027B8E"/>
    <w:rsid w:val="00027CD2"/>
    <w:rsid w:val="00027E3B"/>
    <w:rsid w:val="00031B4B"/>
    <w:rsid w:val="00031EB5"/>
    <w:rsid w:val="000321E0"/>
    <w:rsid w:val="00043259"/>
    <w:rsid w:val="0004331E"/>
    <w:rsid w:val="000441F0"/>
    <w:rsid w:val="00052008"/>
    <w:rsid w:val="0005252F"/>
    <w:rsid w:val="000533B6"/>
    <w:rsid w:val="00054936"/>
    <w:rsid w:val="00054DAD"/>
    <w:rsid w:val="000551FD"/>
    <w:rsid w:val="00057323"/>
    <w:rsid w:val="0006022E"/>
    <w:rsid w:val="000634DF"/>
    <w:rsid w:val="000651FF"/>
    <w:rsid w:val="00066975"/>
    <w:rsid w:val="00066C4B"/>
    <w:rsid w:val="00066ED1"/>
    <w:rsid w:val="000709E3"/>
    <w:rsid w:val="00071275"/>
    <w:rsid w:val="000722D2"/>
    <w:rsid w:val="00072347"/>
    <w:rsid w:val="000734BE"/>
    <w:rsid w:val="00073C0E"/>
    <w:rsid w:val="00074210"/>
    <w:rsid w:val="000769C8"/>
    <w:rsid w:val="00076CD0"/>
    <w:rsid w:val="00076D3B"/>
    <w:rsid w:val="00077CB7"/>
    <w:rsid w:val="000802D3"/>
    <w:rsid w:val="00081A29"/>
    <w:rsid w:val="00082E8A"/>
    <w:rsid w:val="00084667"/>
    <w:rsid w:val="00086D92"/>
    <w:rsid w:val="00091727"/>
    <w:rsid w:val="00092485"/>
    <w:rsid w:val="0009489A"/>
    <w:rsid w:val="00096AE9"/>
    <w:rsid w:val="000A0A90"/>
    <w:rsid w:val="000A16B5"/>
    <w:rsid w:val="000A2599"/>
    <w:rsid w:val="000A4F8A"/>
    <w:rsid w:val="000A6A1C"/>
    <w:rsid w:val="000B491B"/>
    <w:rsid w:val="000B5126"/>
    <w:rsid w:val="000B5A85"/>
    <w:rsid w:val="000B6CD0"/>
    <w:rsid w:val="000B7A34"/>
    <w:rsid w:val="000C1027"/>
    <w:rsid w:val="000C2DF3"/>
    <w:rsid w:val="000C3671"/>
    <w:rsid w:val="000C3C90"/>
    <w:rsid w:val="000C5DB0"/>
    <w:rsid w:val="000C634C"/>
    <w:rsid w:val="000C6668"/>
    <w:rsid w:val="000C7E52"/>
    <w:rsid w:val="000D02C2"/>
    <w:rsid w:val="000D2216"/>
    <w:rsid w:val="000D3B42"/>
    <w:rsid w:val="000D3CE8"/>
    <w:rsid w:val="000D47EC"/>
    <w:rsid w:val="000D5C78"/>
    <w:rsid w:val="000D745D"/>
    <w:rsid w:val="000D7B2C"/>
    <w:rsid w:val="000E00B0"/>
    <w:rsid w:val="000E06B0"/>
    <w:rsid w:val="000E0EA6"/>
    <w:rsid w:val="000E121A"/>
    <w:rsid w:val="000E168C"/>
    <w:rsid w:val="000E20C6"/>
    <w:rsid w:val="000E22D3"/>
    <w:rsid w:val="000E25C6"/>
    <w:rsid w:val="000E49DD"/>
    <w:rsid w:val="000E53BC"/>
    <w:rsid w:val="000F18A8"/>
    <w:rsid w:val="000F28A3"/>
    <w:rsid w:val="000F37E6"/>
    <w:rsid w:val="000F3E42"/>
    <w:rsid w:val="000F43AC"/>
    <w:rsid w:val="000F57EC"/>
    <w:rsid w:val="000F640C"/>
    <w:rsid w:val="000F6580"/>
    <w:rsid w:val="000F6771"/>
    <w:rsid w:val="00100D37"/>
    <w:rsid w:val="001019A3"/>
    <w:rsid w:val="001029D9"/>
    <w:rsid w:val="00103D25"/>
    <w:rsid w:val="00104065"/>
    <w:rsid w:val="00104AFB"/>
    <w:rsid w:val="00106093"/>
    <w:rsid w:val="00106113"/>
    <w:rsid w:val="001065B8"/>
    <w:rsid w:val="00107638"/>
    <w:rsid w:val="001079AE"/>
    <w:rsid w:val="0011147B"/>
    <w:rsid w:val="00112515"/>
    <w:rsid w:val="001127FC"/>
    <w:rsid w:val="0011288C"/>
    <w:rsid w:val="00112BC6"/>
    <w:rsid w:val="00114C44"/>
    <w:rsid w:val="0011545A"/>
    <w:rsid w:val="00116836"/>
    <w:rsid w:val="001173AC"/>
    <w:rsid w:val="001177A8"/>
    <w:rsid w:val="001202A7"/>
    <w:rsid w:val="0012040C"/>
    <w:rsid w:val="0012088C"/>
    <w:rsid w:val="00120FE8"/>
    <w:rsid w:val="00121AA7"/>
    <w:rsid w:val="001224AB"/>
    <w:rsid w:val="00123029"/>
    <w:rsid w:val="00123953"/>
    <w:rsid w:val="00123FD8"/>
    <w:rsid w:val="00125E67"/>
    <w:rsid w:val="00126DA5"/>
    <w:rsid w:val="001271CD"/>
    <w:rsid w:val="00127608"/>
    <w:rsid w:val="00134943"/>
    <w:rsid w:val="001361A2"/>
    <w:rsid w:val="00136A1F"/>
    <w:rsid w:val="00136AE9"/>
    <w:rsid w:val="00140236"/>
    <w:rsid w:val="00142003"/>
    <w:rsid w:val="00143DEB"/>
    <w:rsid w:val="001450D5"/>
    <w:rsid w:val="0015129A"/>
    <w:rsid w:val="001513EA"/>
    <w:rsid w:val="00153785"/>
    <w:rsid w:val="001547CA"/>
    <w:rsid w:val="00155211"/>
    <w:rsid w:val="0015548E"/>
    <w:rsid w:val="001571FA"/>
    <w:rsid w:val="001577AD"/>
    <w:rsid w:val="00157B24"/>
    <w:rsid w:val="00157C65"/>
    <w:rsid w:val="00160CE2"/>
    <w:rsid w:val="00161BDB"/>
    <w:rsid w:val="0016259F"/>
    <w:rsid w:val="001628D1"/>
    <w:rsid w:val="00162924"/>
    <w:rsid w:val="0017280D"/>
    <w:rsid w:val="00173361"/>
    <w:rsid w:val="00173F4E"/>
    <w:rsid w:val="00174CD9"/>
    <w:rsid w:val="001751BF"/>
    <w:rsid w:val="00175E5A"/>
    <w:rsid w:val="0017740F"/>
    <w:rsid w:val="00177AEC"/>
    <w:rsid w:val="001807B6"/>
    <w:rsid w:val="00180D58"/>
    <w:rsid w:val="00180F69"/>
    <w:rsid w:val="001819DD"/>
    <w:rsid w:val="00181ED0"/>
    <w:rsid w:val="00182DDC"/>
    <w:rsid w:val="0018350F"/>
    <w:rsid w:val="00183A0A"/>
    <w:rsid w:val="00183D26"/>
    <w:rsid w:val="00183F9C"/>
    <w:rsid w:val="001850CF"/>
    <w:rsid w:val="001913C9"/>
    <w:rsid w:val="0019285B"/>
    <w:rsid w:val="00193B84"/>
    <w:rsid w:val="00193D87"/>
    <w:rsid w:val="00194757"/>
    <w:rsid w:val="001964B6"/>
    <w:rsid w:val="00196824"/>
    <w:rsid w:val="00196FA3"/>
    <w:rsid w:val="001A0192"/>
    <w:rsid w:val="001A10DD"/>
    <w:rsid w:val="001A43E5"/>
    <w:rsid w:val="001A4760"/>
    <w:rsid w:val="001A58BB"/>
    <w:rsid w:val="001A7231"/>
    <w:rsid w:val="001B1069"/>
    <w:rsid w:val="001B13C3"/>
    <w:rsid w:val="001B1582"/>
    <w:rsid w:val="001B2FBE"/>
    <w:rsid w:val="001B5B01"/>
    <w:rsid w:val="001B6C35"/>
    <w:rsid w:val="001B6FC5"/>
    <w:rsid w:val="001B7D8B"/>
    <w:rsid w:val="001C2C44"/>
    <w:rsid w:val="001C3A6B"/>
    <w:rsid w:val="001C3D8C"/>
    <w:rsid w:val="001C43DA"/>
    <w:rsid w:val="001C7150"/>
    <w:rsid w:val="001D0B75"/>
    <w:rsid w:val="001D1E46"/>
    <w:rsid w:val="001D1F78"/>
    <w:rsid w:val="001D2805"/>
    <w:rsid w:val="001D31E6"/>
    <w:rsid w:val="001D39AF"/>
    <w:rsid w:val="001D3D11"/>
    <w:rsid w:val="001D597B"/>
    <w:rsid w:val="001D5E56"/>
    <w:rsid w:val="001E0F04"/>
    <w:rsid w:val="001E1994"/>
    <w:rsid w:val="001E22F3"/>
    <w:rsid w:val="001E2313"/>
    <w:rsid w:val="001E431A"/>
    <w:rsid w:val="001E5790"/>
    <w:rsid w:val="001E5B7F"/>
    <w:rsid w:val="001E628D"/>
    <w:rsid w:val="001E68BB"/>
    <w:rsid w:val="001E6B9D"/>
    <w:rsid w:val="001E7CA7"/>
    <w:rsid w:val="001F0E32"/>
    <w:rsid w:val="001F24FC"/>
    <w:rsid w:val="001F3A16"/>
    <w:rsid w:val="001F6B5A"/>
    <w:rsid w:val="00200693"/>
    <w:rsid w:val="00201374"/>
    <w:rsid w:val="002021FB"/>
    <w:rsid w:val="00202BD9"/>
    <w:rsid w:val="00202E51"/>
    <w:rsid w:val="00203251"/>
    <w:rsid w:val="0020329F"/>
    <w:rsid w:val="00206DF9"/>
    <w:rsid w:val="00207398"/>
    <w:rsid w:val="00207FCB"/>
    <w:rsid w:val="00211E70"/>
    <w:rsid w:val="002126AD"/>
    <w:rsid w:val="00213614"/>
    <w:rsid w:val="00214B4F"/>
    <w:rsid w:val="00214F18"/>
    <w:rsid w:val="00215685"/>
    <w:rsid w:val="00215F2F"/>
    <w:rsid w:val="00217232"/>
    <w:rsid w:val="00217248"/>
    <w:rsid w:val="00220788"/>
    <w:rsid w:val="00222609"/>
    <w:rsid w:val="0022262B"/>
    <w:rsid w:val="00222D92"/>
    <w:rsid w:val="00223014"/>
    <w:rsid w:val="0022437B"/>
    <w:rsid w:val="002263B7"/>
    <w:rsid w:val="00230452"/>
    <w:rsid w:val="002308FF"/>
    <w:rsid w:val="0023356A"/>
    <w:rsid w:val="0023431B"/>
    <w:rsid w:val="00234996"/>
    <w:rsid w:val="00234D24"/>
    <w:rsid w:val="00235784"/>
    <w:rsid w:val="00236694"/>
    <w:rsid w:val="0023681D"/>
    <w:rsid w:val="00236D70"/>
    <w:rsid w:val="00236EC9"/>
    <w:rsid w:val="0024088F"/>
    <w:rsid w:val="002415BE"/>
    <w:rsid w:val="002418FC"/>
    <w:rsid w:val="002424FA"/>
    <w:rsid w:val="00243512"/>
    <w:rsid w:val="00243B2C"/>
    <w:rsid w:val="00246C2F"/>
    <w:rsid w:val="002515A6"/>
    <w:rsid w:val="002523B9"/>
    <w:rsid w:val="00253773"/>
    <w:rsid w:val="00254AF0"/>
    <w:rsid w:val="00254CAE"/>
    <w:rsid w:val="002555D7"/>
    <w:rsid w:val="00256EF8"/>
    <w:rsid w:val="0025745C"/>
    <w:rsid w:val="00260BF4"/>
    <w:rsid w:val="00263F82"/>
    <w:rsid w:val="00264121"/>
    <w:rsid w:val="002643FD"/>
    <w:rsid w:val="002650BC"/>
    <w:rsid w:val="00265480"/>
    <w:rsid w:val="002656F6"/>
    <w:rsid w:val="00265A88"/>
    <w:rsid w:val="00265BBF"/>
    <w:rsid w:val="00270EBB"/>
    <w:rsid w:val="00272A27"/>
    <w:rsid w:val="00272AE7"/>
    <w:rsid w:val="00273F07"/>
    <w:rsid w:val="002743D8"/>
    <w:rsid w:val="002743ED"/>
    <w:rsid w:val="00274E4B"/>
    <w:rsid w:val="002753A7"/>
    <w:rsid w:val="00275B36"/>
    <w:rsid w:val="0027763C"/>
    <w:rsid w:val="00282C6B"/>
    <w:rsid w:val="00283073"/>
    <w:rsid w:val="002838BD"/>
    <w:rsid w:val="00284A54"/>
    <w:rsid w:val="00285EA0"/>
    <w:rsid w:val="00287838"/>
    <w:rsid w:val="002933F4"/>
    <w:rsid w:val="00293F2A"/>
    <w:rsid w:val="00294429"/>
    <w:rsid w:val="002956ED"/>
    <w:rsid w:val="00297466"/>
    <w:rsid w:val="002A0412"/>
    <w:rsid w:val="002A445F"/>
    <w:rsid w:val="002A4547"/>
    <w:rsid w:val="002A69E6"/>
    <w:rsid w:val="002A76B7"/>
    <w:rsid w:val="002B004C"/>
    <w:rsid w:val="002B0BEF"/>
    <w:rsid w:val="002B13E9"/>
    <w:rsid w:val="002B1CB6"/>
    <w:rsid w:val="002B277D"/>
    <w:rsid w:val="002B35A4"/>
    <w:rsid w:val="002B3AB9"/>
    <w:rsid w:val="002B4BCE"/>
    <w:rsid w:val="002B5612"/>
    <w:rsid w:val="002B674A"/>
    <w:rsid w:val="002C11AF"/>
    <w:rsid w:val="002C250E"/>
    <w:rsid w:val="002C6907"/>
    <w:rsid w:val="002C6935"/>
    <w:rsid w:val="002C73A1"/>
    <w:rsid w:val="002D1731"/>
    <w:rsid w:val="002D1AA9"/>
    <w:rsid w:val="002D23A0"/>
    <w:rsid w:val="002D5047"/>
    <w:rsid w:val="002D74A4"/>
    <w:rsid w:val="002E1683"/>
    <w:rsid w:val="002E2FAC"/>
    <w:rsid w:val="002E3915"/>
    <w:rsid w:val="002E3BCB"/>
    <w:rsid w:val="002E508E"/>
    <w:rsid w:val="002E6F94"/>
    <w:rsid w:val="002E71B0"/>
    <w:rsid w:val="002E76B2"/>
    <w:rsid w:val="002F004E"/>
    <w:rsid w:val="002F0D7F"/>
    <w:rsid w:val="002F1B0E"/>
    <w:rsid w:val="002F3091"/>
    <w:rsid w:val="002F34C0"/>
    <w:rsid w:val="002F41FA"/>
    <w:rsid w:val="002F60CD"/>
    <w:rsid w:val="0030073D"/>
    <w:rsid w:val="00300B98"/>
    <w:rsid w:val="00300F95"/>
    <w:rsid w:val="00301B1B"/>
    <w:rsid w:val="003028F6"/>
    <w:rsid w:val="00302C5F"/>
    <w:rsid w:val="00303E12"/>
    <w:rsid w:val="00303F0B"/>
    <w:rsid w:val="003040AC"/>
    <w:rsid w:val="00304434"/>
    <w:rsid w:val="0030454C"/>
    <w:rsid w:val="00304AB1"/>
    <w:rsid w:val="00304DA3"/>
    <w:rsid w:val="00306104"/>
    <w:rsid w:val="00306C93"/>
    <w:rsid w:val="00306E90"/>
    <w:rsid w:val="0030700A"/>
    <w:rsid w:val="003075C8"/>
    <w:rsid w:val="003075D8"/>
    <w:rsid w:val="003109A1"/>
    <w:rsid w:val="003119F1"/>
    <w:rsid w:val="003132B5"/>
    <w:rsid w:val="00315982"/>
    <w:rsid w:val="00315D03"/>
    <w:rsid w:val="00317E37"/>
    <w:rsid w:val="0032354F"/>
    <w:rsid w:val="00323DC6"/>
    <w:rsid w:val="0032455F"/>
    <w:rsid w:val="00324645"/>
    <w:rsid w:val="003254AC"/>
    <w:rsid w:val="00326585"/>
    <w:rsid w:val="003265B7"/>
    <w:rsid w:val="00326ABC"/>
    <w:rsid w:val="00333749"/>
    <w:rsid w:val="00335531"/>
    <w:rsid w:val="0033590E"/>
    <w:rsid w:val="00336526"/>
    <w:rsid w:val="00336683"/>
    <w:rsid w:val="00336765"/>
    <w:rsid w:val="00340060"/>
    <w:rsid w:val="00340B99"/>
    <w:rsid w:val="00340BF4"/>
    <w:rsid w:val="003427AC"/>
    <w:rsid w:val="00342DF1"/>
    <w:rsid w:val="00343E16"/>
    <w:rsid w:val="003441B6"/>
    <w:rsid w:val="00345223"/>
    <w:rsid w:val="00345776"/>
    <w:rsid w:val="00347399"/>
    <w:rsid w:val="003526AD"/>
    <w:rsid w:val="00353157"/>
    <w:rsid w:val="00353ECA"/>
    <w:rsid w:val="003555CE"/>
    <w:rsid w:val="003566E6"/>
    <w:rsid w:val="00356B76"/>
    <w:rsid w:val="003609C8"/>
    <w:rsid w:val="003610C6"/>
    <w:rsid w:val="00362395"/>
    <w:rsid w:val="00363678"/>
    <w:rsid w:val="0036388C"/>
    <w:rsid w:val="00363901"/>
    <w:rsid w:val="003644DD"/>
    <w:rsid w:val="0036790E"/>
    <w:rsid w:val="00367A42"/>
    <w:rsid w:val="00370720"/>
    <w:rsid w:val="0037109D"/>
    <w:rsid w:val="003752B8"/>
    <w:rsid w:val="00375A1F"/>
    <w:rsid w:val="003771E8"/>
    <w:rsid w:val="00380893"/>
    <w:rsid w:val="00381690"/>
    <w:rsid w:val="00382569"/>
    <w:rsid w:val="0038258A"/>
    <w:rsid w:val="00382892"/>
    <w:rsid w:val="003835D3"/>
    <w:rsid w:val="003841FD"/>
    <w:rsid w:val="00386C9E"/>
    <w:rsid w:val="00392527"/>
    <w:rsid w:val="0039611B"/>
    <w:rsid w:val="003963C8"/>
    <w:rsid w:val="00397227"/>
    <w:rsid w:val="003A0094"/>
    <w:rsid w:val="003A3DEE"/>
    <w:rsid w:val="003A3FB8"/>
    <w:rsid w:val="003A5B00"/>
    <w:rsid w:val="003A5B97"/>
    <w:rsid w:val="003A68B0"/>
    <w:rsid w:val="003A71CB"/>
    <w:rsid w:val="003A72DD"/>
    <w:rsid w:val="003A74BC"/>
    <w:rsid w:val="003A7B7A"/>
    <w:rsid w:val="003B0BE6"/>
    <w:rsid w:val="003B37A6"/>
    <w:rsid w:val="003B3D18"/>
    <w:rsid w:val="003B4BE8"/>
    <w:rsid w:val="003B6220"/>
    <w:rsid w:val="003B6FD3"/>
    <w:rsid w:val="003C0AE9"/>
    <w:rsid w:val="003C2718"/>
    <w:rsid w:val="003C3D05"/>
    <w:rsid w:val="003C509B"/>
    <w:rsid w:val="003C7129"/>
    <w:rsid w:val="003C75C0"/>
    <w:rsid w:val="003C77D3"/>
    <w:rsid w:val="003D09FC"/>
    <w:rsid w:val="003D6EDF"/>
    <w:rsid w:val="003E0A8E"/>
    <w:rsid w:val="003E115D"/>
    <w:rsid w:val="003E115E"/>
    <w:rsid w:val="003E12DD"/>
    <w:rsid w:val="003E2A80"/>
    <w:rsid w:val="003E34E4"/>
    <w:rsid w:val="003E4484"/>
    <w:rsid w:val="003E450C"/>
    <w:rsid w:val="003E49F4"/>
    <w:rsid w:val="003E4A89"/>
    <w:rsid w:val="003E59CC"/>
    <w:rsid w:val="003E5C55"/>
    <w:rsid w:val="003E5F8C"/>
    <w:rsid w:val="003E6083"/>
    <w:rsid w:val="003E7757"/>
    <w:rsid w:val="003E7901"/>
    <w:rsid w:val="003E7EB8"/>
    <w:rsid w:val="003F055A"/>
    <w:rsid w:val="003F0C3E"/>
    <w:rsid w:val="003F3775"/>
    <w:rsid w:val="003F4FC9"/>
    <w:rsid w:val="003F7235"/>
    <w:rsid w:val="0040014B"/>
    <w:rsid w:val="00401346"/>
    <w:rsid w:val="00402A3D"/>
    <w:rsid w:val="00405075"/>
    <w:rsid w:val="004057B7"/>
    <w:rsid w:val="0040785B"/>
    <w:rsid w:val="00407C92"/>
    <w:rsid w:val="00413748"/>
    <w:rsid w:val="00414F47"/>
    <w:rsid w:val="00415E9C"/>
    <w:rsid w:val="00415F08"/>
    <w:rsid w:val="004165F1"/>
    <w:rsid w:val="00420683"/>
    <w:rsid w:val="0042196B"/>
    <w:rsid w:val="00421B4D"/>
    <w:rsid w:val="00421BD6"/>
    <w:rsid w:val="00423121"/>
    <w:rsid w:val="004233D0"/>
    <w:rsid w:val="00423561"/>
    <w:rsid w:val="004239EC"/>
    <w:rsid w:val="00423D7F"/>
    <w:rsid w:val="00424976"/>
    <w:rsid w:val="0042622B"/>
    <w:rsid w:val="00432B80"/>
    <w:rsid w:val="0043330F"/>
    <w:rsid w:val="004350D4"/>
    <w:rsid w:val="004354A5"/>
    <w:rsid w:val="00436E2C"/>
    <w:rsid w:val="004371D1"/>
    <w:rsid w:val="004372A4"/>
    <w:rsid w:val="00440315"/>
    <w:rsid w:val="00441AB3"/>
    <w:rsid w:val="00442A58"/>
    <w:rsid w:val="004447C6"/>
    <w:rsid w:val="00444B0B"/>
    <w:rsid w:val="004525E2"/>
    <w:rsid w:val="00452601"/>
    <w:rsid w:val="0045352F"/>
    <w:rsid w:val="00455ED5"/>
    <w:rsid w:val="00462FDA"/>
    <w:rsid w:val="004649AD"/>
    <w:rsid w:val="00465C6C"/>
    <w:rsid w:val="00466096"/>
    <w:rsid w:val="0046658B"/>
    <w:rsid w:val="00470F5D"/>
    <w:rsid w:val="00471E12"/>
    <w:rsid w:val="004721A9"/>
    <w:rsid w:val="004728EE"/>
    <w:rsid w:val="00472CF4"/>
    <w:rsid w:val="00473C8E"/>
    <w:rsid w:val="00474000"/>
    <w:rsid w:val="00475085"/>
    <w:rsid w:val="00476398"/>
    <w:rsid w:val="004772AE"/>
    <w:rsid w:val="004800AF"/>
    <w:rsid w:val="00481D50"/>
    <w:rsid w:val="004822A2"/>
    <w:rsid w:val="004848CA"/>
    <w:rsid w:val="004856FB"/>
    <w:rsid w:val="00485A06"/>
    <w:rsid w:val="00485B01"/>
    <w:rsid w:val="00486224"/>
    <w:rsid w:val="00487D2D"/>
    <w:rsid w:val="004902BD"/>
    <w:rsid w:val="00490C64"/>
    <w:rsid w:val="00490CA0"/>
    <w:rsid w:val="0049432C"/>
    <w:rsid w:val="004945FF"/>
    <w:rsid w:val="00495B36"/>
    <w:rsid w:val="00496C01"/>
    <w:rsid w:val="004974A2"/>
    <w:rsid w:val="00497CCE"/>
    <w:rsid w:val="004A0901"/>
    <w:rsid w:val="004A0D58"/>
    <w:rsid w:val="004A1906"/>
    <w:rsid w:val="004A19EC"/>
    <w:rsid w:val="004A1BCE"/>
    <w:rsid w:val="004A490F"/>
    <w:rsid w:val="004A54AD"/>
    <w:rsid w:val="004A5856"/>
    <w:rsid w:val="004A6EE9"/>
    <w:rsid w:val="004B04B8"/>
    <w:rsid w:val="004B1453"/>
    <w:rsid w:val="004B1BFE"/>
    <w:rsid w:val="004B2F7D"/>
    <w:rsid w:val="004B75B6"/>
    <w:rsid w:val="004B7D07"/>
    <w:rsid w:val="004C1709"/>
    <w:rsid w:val="004C25DC"/>
    <w:rsid w:val="004C5250"/>
    <w:rsid w:val="004D10F8"/>
    <w:rsid w:val="004D11B3"/>
    <w:rsid w:val="004D1593"/>
    <w:rsid w:val="004D1A47"/>
    <w:rsid w:val="004D3305"/>
    <w:rsid w:val="004D3C42"/>
    <w:rsid w:val="004D5A19"/>
    <w:rsid w:val="004D6C26"/>
    <w:rsid w:val="004D7509"/>
    <w:rsid w:val="004D7B42"/>
    <w:rsid w:val="004E21DB"/>
    <w:rsid w:val="004E2734"/>
    <w:rsid w:val="004E5DEE"/>
    <w:rsid w:val="004E7143"/>
    <w:rsid w:val="004E766E"/>
    <w:rsid w:val="004F040F"/>
    <w:rsid w:val="004F08ED"/>
    <w:rsid w:val="004F0B93"/>
    <w:rsid w:val="004F3379"/>
    <w:rsid w:val="004F368D"/>
    <w:rsid w:val="004F4D43"/>
    <w:rsid w:val="004F50FD"/>
    <w:rsid w:val="004F6C3F"/>
    <w:rsid w:val="005011E3"/>
    <w:rsid w:val="00503376"/>
    <w:rsid w:val="005036E5"/>
    <w:rsid w:val="00504662"/>
    <w:rsid w:val="00504A37"/>
    <w:rsid w:val="005059B3"/>
    <w:rsid w:val="005078A9"/>
    <w:rsid w:val="005079C5"/>
    <w:rsid w:val="00507EC8"/>
    <w:rsid w:val="005107F8"/>
    <w:rsid w:val="00511950"/>
    <w:rsid w:val="00520B2C"/>
    <w:rsid w:val="0052309F"/>
    <w:rsid w:val="005244A3"/>
    <w:rsid w:val="00524A8B"/>
    <w:rsid w:val="005252FB"/>
    <w:rsid w:val="00525F7B"/>
    <w:rsid w:val="00526549"/>
    <w:rsid w:val="00531321"/>
    <w:rsid w:val="0053165E"/>
    <w:rsid w:val="00531B57"/>
    <w:rsid w:val="00533314"/>
    <w:rsid w:val="0053337C"/>
    <w:rsid w:val="005341B4"/>
    <w:rsid w:val="00536D33"/>
    <w:rsid w:val="0053725C"/>
    <w:rsid w:val="005400F6"/>
    <w:rsid w:val="00540F1E"/>
    <w:rsid w:val="0054687E"/>
    <w:rsid w:val="00551B78"/>
    <w:rsid w:val="0055227F"/>
    <w:rsid w:val="005530FC"/>
    <w:rsid w:val="005537E5"/>
    <w:rsid w:val="0055390E"/>
    <w:rsid w:val="005548DB"/>
    <w:rsid w:val="00555C38"/>
    <w:rsid w:val="00555F8A"/>
    <w:rsid w:val="00557696"/>
    <w:rsid w:val="00557CE5"/>
    <w:rsid w:val="00562F85"/>
    <w:rsid w:val="00563393"/>
    <w:rsid w:val="005646BF"/>
    <w:rsid w:val="00565A2F"/>
    <w:rsid w:val="00566ED1"/>
    <w:rsid w:val="0056756B"/>
    <w:rsid w:val="00567E3F"/>
    <w:rsid w:val="005725F0"/>
    <w:rsid w:val="00572803"/>
    <w:rsid w:val="00572ADD"/>
    <w:rsid w:val="00573ABD"/>
    <w:rsid w:val="00574108"/>
    <w:rsid w:val="00575333"/>
    <w:rsid w:val="00575E36"/>
    <w:rsid w:val="0057668F"/>
    <w:rsid w:val="005815E6"/>
    <w:rsid w:val="00582C7D"/>
    <w:rsid w:val="0058326C"/>
    <w:rsid w:val="00583B26"/>
    <w:rsid w:val="00586C84"/>
    <w:rsid w:val="00594C78"/>
    <w:rsid w:val="0059659C"/>
    <w:rsid w:val="005970C0"/>
    <w:rsid w:val="005A1165"/>
    <w:rsid w:val="005A1FBA"/>
    <w:rsid w:val="005A37A2"/>
    <w:rsid w:val="005A39FD"/>
    <w:rsid w:val="005A44D8"/>
    <w:rsid w:val="005A52AD"/>
    <w:rsid w:val="005A723A"/>
    <w:rsid w:val="005A7A6F"/>
    <w:rsid w:val="005B3789"/>
    <w:rsid w:val="005B7099"/>
    <w:rsid w:val="005B7635"/>
    <w:rsid w:val="005C28AE"/>
    <w:rsid w:val="005C329E"/>
    <w:rsid w:val="005C6ED0"/>
    <w:rsid w:val="005D0AD4"/>
    <w:rsid w:val="005D1BF6"/>
    <w:rsid w:val="005D2CA9"/>
    <w:rsid w:val="005D2CF6"/>
    <w:rsid w:val="005D3002"/>
    <w:rsid w:val="005D308B"/>
    <w:rsid w:val="005D32D7"/>
    <w:rsid w:val="005D3C3B"/>
    <w:rsid w:val="005D6C7A"/>
    <w:rsid w:val="005D74D8"/>
    <w:rsid w:val="005D7B6D"/>
    <w:rsid w:val="005E1C49"/>
    <w:rsid w:val="005E220E"/>
    <w:rsid w:val="005E225E"/>
    <w:rsid w:val="005E74D1"/>
    <w:rsid w:val="005E7AC1"/>
    <w:rsid w:val="005F1AD8"/>
    <w:rsid w:val="005F2B43"/>
    <w:rsid w:val="005F2E3F"/>
    <w:rsid w:val="005F31CC"/>
    <w:rsid w:val="005F4518"/>
    <w:rsid w:val="005F474D"/>
    <w:rsid w:val="005F75B4"/>
    <w:rsid w:val="005F7B2D"/>
    <w:rsid w:val="005F7D3C"/>
    <w:rsid w:val="006026F1"/>
    <w:rsid w:val="0060358E"/>
    <w:rsid w:val="00603E00"/>
    <w:rsid w:val="00604952"/>
    <w:rsid w:val="006050FC"/>
    <w:rsid w:val="00605DF9"/>
    <w:rsid w:val="006106EE"/>
    <w:rsid w:val="00611B59"/>
    <w:rsid w:val="0061468D"/>
    <w:rsid w:val="00614735"/>
    <w:rsid w:val="006158AA"/>
    <w:rsid w:val="00616944"/>
    <w:rsid w:val="006176B1"/>
    <w:rsid w:val="0061793D"/>
    <w:rsid w:val="00617A80"/>
    <w:rsid w:val="006209FB"/>
    <w:rsid w:val="00620DE8"/>
    <w:rsid w:val="006215D8"/>
    <w:rsid w:val="00621C01"/>
    <w:rsid w:val="006222D3"/>
    <w:rsid w:val="00623D21"/>
    <w:rsid w:val="0062519D"/>
    <w:rsid w:val="00625BAD"/>
    <w:rsid w:val="00626F51"/>
    <w:rsid w:val="0062767F"/>
    <w:rsid w:val="006279EB"/>
    <w:rsid w:val="00632594"/>
    <w:rsid w:val="00632FA4"/>
    <w:rsid w:val="006349BC"/>
    <w:rsid w:val="0063619E"/>
    <w:rsid w:val="006364E2"/>
    <w:rsid w:val="0063681E"/>
    <w:rsid w:val="00636A41"/>
    <w:rsid w:val="00637A0B"/>
    <w:rsid w:val="0064046A"/>
    <w:rsid w:val="0064075F"/>
    <w:rsid w:val="00640E9D"/>
    <w:rsid w:val="00640FA4"/>
    <w:rsid w:val="006412BB"/>
    <w:rsid w:val="00642588"/>
    <w:rsid w:val="00643438"/>
    <w:rsid w:val="00646775"/>
    <w:rsid w:val="00646905"/>
    <w:rsid w:val="00647CE5"/>
    <w:rsid w:val="00650E74"/>
    <w:rsid w:val="00651AF1"/>
    <w:rsid w:val="00654B10"/>
    <w:rsid w:val="006559B3"/>
    <w:rsid w:val="00660404"/>
    <w:rsid w:val="006606D2"/>
    <w:rsid w:val="00660A0A"/>
    <w:rsid w:val="00661230"/>
    <w:rsid w:val="006621C2"/>
    <w:rsid w:val="006633A4"/>
    <w:rsid w:val="006658FE"/>
    <w:rsid w:val="00666306"/>
    <w:rsid w:val="00670F3E"/>
    <w:rsid w:val="00671C0E"/>
    <w:rsid w:val="006728F1"/>
    <w:rsid w:val="00672A74"/>
    <w:rsid w:val="00673327"/>
    <w:rsid w:val="006753B2"/>
    <w:rsid w:val="00675D6C"/>
    <w:rsid w:val="006779BE"/>
    <w:rsid w:val="0068357A"/>
    <w:rsid w:val="00683A8C"/>
    <w:rsid w:val="00685472"/>
    <w:rsid w:val="0068560F"/>
    <w:rsid w:val="006905AB"/>
    <w:rsid w:val="00691989"/>
    <w:rsid w:val="006936BB"/>
    <w:rsid w:val="00694D53"/>
    <w:rsid w:val="00695C3C"/>
    <w:rsid w:val="00697420"/>
    <w:rsid w:val="006974B7"/>
    <w:rsid w:val="006A00C9"/>
    <w:rsid w:val="006A1D09"/>
    <w:rsid w:val="006A3542"/>
    <w:rsid w:val="006A4665"/>
    <w:rsid w:val="006A4C4B"/>
    <w:rsid w:val="006A5825"/>
    <w:rsid w:val="006A622A"/>
    <w:rsid w:val="006A6AD2"/>
    <w:rsid w:val="006A6C7F"/>
    <w:rsid w:val="006A7694"/>
    <w:rsid w:val="006B07B8"/>
    <w:rsid w:val="006B0974"/>
    <w:rsid w:val="006B27D2"/>
    <w:rsid w:val="006B60FD"/>
    <w:rsid w:val="006B6101"/>
    <w:rsid w:val="006B675B"/>
    <w:rsid w:val="006C3ECB"/>
    <w:rsid w:val="006C438A"/>
    <w:rsid w:val="006C4DE5"/>
    <w:rsid w:val="006C4E72"/>
    <w:rsid w:val="006C4EC1"/>
    <w:rsid w:val="006C51AD"/>
    <w:rsid w:val="006C6B2F"/>
    <w:rsid w:val="006D12F4"/>
    <w:rsid w:val="006D3B63"/>
    <w:rsid w:val="006D5D86"/>
    <w:rsid w:val="006D66BC"/>
    <w:rsid w:val="006D6C03"/>
    <w:rsid w:val="006E0510"/>
    <w:rsid w:val="006E060D"/>
    <w:rsid w:val="006E093B"/>
    <w:rsid w:val="006E0FF3"/>
    <w:rsid w:val="006E1384"/>
    <w:rsid w:val="006E5559"/>
    <w:rsid w:val="006F1986"/>
    <w:rsid w:val="006F1E0B"/>
    <w:rsid w:val="006F20D3"/>
    <w:rsid w:val="006F2811"/>
    <w:rsid w:val="006F34AA"/>
    <w:rsid w:val="006F3E25"/>
    <w:rsid w:val="006F48D1"/>
    <w:rsid w:val="006F60CB"/>
    <w:rsid w:val="006F6443"/>
    <w:rsid w:val="007009E2"/>
    <w:rsid w:val="00702126"/>
    <w:rsid w:val="00703369"/>
    <w:rsid w:val="007048AE"/>
    <w:rsid w:val="00705D7A"/>
    <w:rsid w:val="0070712E"/>
    <w:rsid w:val="007078FC"/>
    <w:rsid w:val="00711761"/>
    <w:rsid w:val="00712CD0"/>
    <w:rsid w:val="00713978"/>
    <w:rsid w:val="00713B72"/>
    <w:rsid w:val="00714047"/>
    <w:rsid w:val="00714905"/>
    <w:rsid w:val="007151C3"/>
    <w:rsid w:val="0071637A"/>
    <w:rsid w:val="0071762E"/>
    <w:rsid w:val="00721405"/>
    <w:rsid w:val="007225D7"/>
    <w:rsid w:val="0072489C"/>
    <w:rsid w:val="00726337"/>
    <w:rsid w:val="00726E8E"/>
    <w:rsid w:val="00727935"/>
    <w:rsid w:val="007317B9"/>
    <w:rsid w:val="00732216"/>
    <w:rsid w:val="0073282D"/>
    <w:rsid w:val="007340DD"/>
    <w:rsid w:val="00735E5E"/>
    <w:rsid w:val="0073694E"/>
    <w:rsid w:val="00736AB3"/>
    <w:rsid w:val="00736BF8"/>
    <w:rsid w:val="0074183A"/>
    <w:rsid w:val="0074301E"/>
    <w:rsid w:val="00743B2C"/>
    <w:rsid w:val="00745462"/>
    <w:rsid w:val="00745823"/>
    <w:rsid w:val="00746780"/>
    <w:rsid w:val="00746DA6"/>
    <w:rsid w:val="00747460"/>
    <w:rsid w:val="00747B86"/>
    <w:rsid w:val="007529F4"/>
    <w:rsid w:val="00753452"/>
    <w:rsid w:val="00753BC4"/>
    <w:rsid w:val="00753F6F"/>
    <w:rsid w:val="007562EB"/>
    <w:rsid w:val="00757145"/>
    <w:rsid w:val="007605FA"/>
    <w:rsid w:val="007618EB"/>
    <w:rsid w:val="00762595"/>
    <w:rsid w:val="007625EE"/>
    <w:rsid w:val="00764066"/>
    <w:rsid w:val="00765140"/>
    <w:rsid w:val="00765986"/>
    <w:rsid w:val="00766143"/>
    <w:rsid w:val="00766F2D"/>
    <w:rsid w:val="0076739C"/>
    <w:rsid w:val="00767EAE"/>
    <w:rsid w:val="007707BE"/>
    <w:rsid w:val="0077093F"/>
    <w:rsid w:val="00771CC3"/>
    <w:rsid w:val="00773861"/>
    <w:rsid w:val="00774F69"/>
    <w:rsid w:val="007751A1"/>
    <w:rsid w:val="0077596B"/>
    <w:rsid w:val="00775E9D"/>
    <w:rsid w:val="007762D7"/>
    <w:rsid w:val="007773B8"/>
    <w:rsid w:val="007806C8"/>
    <w:rsid w:val="00784B67"/>
    <w:rsid w:val="007856D0"/>
    <w:rsid w:val="007867FE"/>
    <w:rsid w:val="00790222"/>
    <w:rsid w:val="00791034"/>
    <w:rsid w:val="0079173C"/>
    <w:rsid w:val="00792702"/>
    <w:rsid w:val="007931ED"/>
    <w:rsid w:val="00794140"/>
    <w:rsid w:val="00794950"/>
    <w:rsid w:val="00797FED"/>
    <w:rsid w:val="007A0049"/>
    <w:rsid w:val="007A0F7E"/>
    <w:rsid w:val="007A1D80"/>
    <w:rsid w:val="007A3C4E"/>
    <w:rsid w:val="007A3C5F"/>
    <w:rsid w:val="007A50CB"/>
    <w:rsid w:val="007A5D4E"/>
    <w:rsid w:val="007A6590"/>
    <w:rsid w:val="007A6759"/>
    <w:rsid w:val="007A6935"/>
    <w:rsid w:val="007A756B"/>
    <w:rsid w:val="007A760D"/>
    <w:rsid w:val="007A7C7C"/>
    <w:rsid w:val="007B0095"/>
    <w:rsid w:val="007B034A"/>
    <w:rsid w:val="007B1B60"/>
    <w:rsid w:val="007B2B87"/>
    <w:rsid w:val="007B3BB1"/>
    <w:rsid w:val="007B4241"/>
    <w:rsid w:val="007B57A8"/>
    <w:rsid w:val="007B6819"/>
    <w:rsid w:val="007B7B74"/>
    <w:rsid w:val="007B7C2C"/>
    <w:rsid w:val="007B7DB9"/>
    <w:rsid w:val="007C1539"/>
    <w:rsid w:val="007C182E"/>
    <w:rsid w:val="007C22E1"/>
    <w:rsid w:val="007C2A84"/>
    <w:rsid w:val="007C30F1"/>
    <w:rsid w:val="007D1046"/>
    <w:rsid w:val="007D10B0"/>
    <w:rsid w:val="007D1F8C"/>
    <w:rsid w:val="007D33E1"/>
    <w:rsid w:val="007D443C"/>
    <w:rsid w:val="007D4B16"/>
    <w:rsid w:val="007D5522"/>
    <w:rsid w:val="007D61FE"/>
    <w:rsid w:val="007D6CCC"/>
    <w:rsid w:val="007D6FBB"/>
    <w:rsid w:val="007D703A"/>
    <w:rsid w:val="007D78E9"/>
    <w:rsid w:val="007E13F0"/>
    <w:rsid w:val="007E36A0"/>
    <w:rsid w:val="007E4609"/>
    <w:rsid w:val="007E5BF4"/>
    <w:rsid w:val="007F14B2"/>
    <w:rsid w:val="007F1917"/>
    <w:rsid w:val="007F25A9"/>
    <w:rsid w:val="007F33B7"/>
    <w:rsid w:val="007F4374"/>
    <w:rsid w:val="007F4701"/>
    <w:rsid w:val="00801C71"/>
    <w:rsid w:val="00802413"/>
    <w:rsid w:val="008033FA"/>
    <w:rsid w:val="0080383E"/>
    <w:rsid w:val="00803DE5"/>
    <w:rsid w:val="00804813"/>
    <w:rsid w:val="00804DFD"/>
    <w:rsid w:val="00805DAE"/>
    <w:rsid w:val="0080663E"/>
    <w:rsid w:val="00810E44"/>
    <w:rsid w:val="0081215C"/>
    <w:rsid w:val="00812CE8"/>
    <w:rsid w:val="00813D51"/>
    <w:rsid w:val="00815C7E"/>
    <w:rsid w:val="00816C6D"/>
    <w:rsid w:val="00820D2E"/>
    <w:rsid w:val="008212BC"/>
    <w:rsid w:val="00821585"/>
    <w:rsid w:val="00823410"/>
    <w:rsid w:val="0082486B"/>
    <w:rsid w:val="008251CD"/>
    <w:rsid w:val="0082750E"/>
    <w:rsid w:val="0083018C"/>
    <w:rsid w:val="00831C4B"/>
    <w:rsid w:val="00832A59"/>
    <w:rsid w:val="008342DF"/>
    <w:rsid w:val="00835E38"/>
    <w:rsid w:val="00837787"/>
    <w:rsid w:val="008424D0"/>
    <w:rsid w:val="008433B2"/>
    <w:rsid w:val="00843DFF"/>
    <w:rsid w:val="00843E17"/>
    <w:rsid w:val="008444B1"/>
    <w:rsid w:val="00844F8E"/>
    <w:rsid w:val="00845044"/>
    <w:rsid w:val="008464CC"/>
    <w:rsid w:val="00847C6B"/>
    <w:rsid w:val="008508E4"/>
    <w:rsid w:val="00852EA7"/>
    <w:rsid w:val="00852F71"/>
    <w:rsid w:val="008548EA"/>
    <w:rsid w:val="00854C76"/>
    <w:rsid w:val="00860306"/>
    <w:rsid w:val="00861B27"/>
    <w:rsid w:val="00861C3C"/>
    <w:rsid w:val="0086424C"/>
    <w:rsid w:val="00866757"/>
    <w:rsid w:val="008670E4"/>
    <w:rsid w:val="00867E1B"/>
    <w:rsid w:val="008729F6"/>
    <w:rsid w:val="00872BDA"/>
    <w:rsid w:val="008756B9"/>
    <w:rsid w:val="00880395"/>
    <w:rsid w:val="00881234"/>
    <w:rsid w:val="0088149E"/>
    <w:rsid w:val="00883FB2"/>
    <w:rsid w:val="008840F7"/>
    <w:rsid w:val="0088571F"/>
    <w:rsid w:val="00890AF3"/>
    <w:rsid w:val="00891D72"/>
    <w:rsid w:val="00893528"/>
    <w:rsid w:val="0089785C"/>
    <w:rsid w:val="008A20BB"/>
    <w:rsid w:val="008A2701"/>
    <w:rsid w:val="008A4CA9"/>
    <w:rsid w:val="008A6469"/>
    <w:rsid w:val="008A6FFB"/>
    <w:rsid w:val="008A71AE"/>
    <w:rsid w:val="008A7613"/>
    <w:rsid w:val="008B15CE"/>
    <w:rsid w:val="008B2B06"/>
    <w:rsid w:val="008B4C7D"/>
    <w:rsid w:val="008B56AD"/>
    <w:rsid w:val="008B6C76"/>
    <w:rsid w:val="008C0CA0"/>
    <w:rsid w:val="008C362C"/>
    <w:rsid w:val="008C39D6"/>
    <w:rsid w:val="008C6FCE"/>
    <w:rsid w:val="008C7142"/>
    <w:rsid w:val="008D161B"/>
    <w:rsid w:val="008D2269"/>
    <w:rsid w:val="008D2C00"/>
    <w:rsid w:val="008D47EB"/>
    <w:rsid w:val="008D4FCF"/>
    <w:rsid w:val="008D544B"/>
    <w:rsid w:val="008D5604"/>
    <w:rsid w:val="008E204B"/>
    <w:rsid w:val="008E32FA"/>
    <w:rsid w:val="008E45B3"/>
    <w:rsid w:val="008E4D9F"/>
    <w:rsid w:val="008E547A"/>
    <w:rsid w:val="008E62BB"/>
    <w:rsid w:val="008E693E"/>
    <w:rsid w:val="008F0EAF"/>
    <w:rsid w:val="008F10CB"/>
    <w:rsid w:val="008F16B0"/>
    <w:rsid w:val="008F29CC"/>
    <w:rsid w:val="008F30BF"/>
    <w:rsid w:val="008F3D38"/>
    <w:rsid w:val="008F4A4F"/>
    <w:rsid w:val="008F4C89"/>
    <w:rsid w:val="008F50CA"/>
    <w:rsid w:val="008F613A"/>
    <w:rsid w:val="008F79E1"/>
    <w:rsid w:val="008F7B8B"/>
    <w:rsid w:val="0090078F"/>
    <w:rsid w:val="00900BCA"/>
    <w:rsid w:val="00900CFA"/>
    <w:rsid w:val="0090289E"/>
    <w:rsid w:val="00902B11"/>
    <w:rsid w:val="009039FA"/>
    <w:rsid w:val="00904273"/>
    <w:rsid w:val="00905399"/>
    <w:rsid w:val="009056F6"/>
    <w:rsid w:val="00910227"/>
    <w:rsid w:val="00911379"/>
    <w:rsid w:val="00911CF4"/>
    <w:rsid w:val="00911D17"/>
    <w:rsid w:val="00912A23"/>
    <w:rsid w:val="00912B3D"/>
    <w:rsid w:val="00913DE7"/>
    <w:rsid w:val="00914E0C"/>
    <w:rsid w:val="009161B4"/>
    <w:rsid w:val="009166AA"/>
    <w:rsid w:val="0091683F"/>
    <w:rsid w:val="00916997"/>
    <w:rsid w:val="00917121"/>
    <w:rsid w:val="00917B06"/>
    <w:rsid w:val="00922E34"/>
    <w:rsid w:val="00923366"/>
    <w:rsid w:val="00924294"/>
    <w:rsid w:val="00924EC4"/>
    <w:rsid w:val="00925EF3"/>
    <w:rsid w:val="009330FF"/>
    <w:rsid w:val="00933158"/>
    <w:rsid w:val="00933C90"/>
    <w:rsid w:val="0093704C"/>
    <w:rsid w:val="009376AA"/>
    <w:rsid w:val="0094222F"/>
    <w:rsid w:val="0094304D"/>
    <w:rsid w:val="00944AFB"/>
    <w:rsid w:val="00945CA3"/>
    <w:rsid w:val="00945E28"/>
    <w:rsid w:val="009518B4"/>
    <w:rsid w:val="00955F72"/>
    <w:rsid w:val="00956165"/>
    <w:rsid w:val="00956DEF"/>
    <w:rsid w:val="00957656"/>
    <w:rsid w:val="0095798B"/>
    <w:rsid w:val="0096027E"/>
    <w:rsid w:val="00960602"/>
    <w:rsid w:val="0096225D"/>
    <w:rsid w:val="00962F11"/>
    <w:rsid w:val="009630E6"/>
    <w:rsid w:val="00964FB2"/>
    <w:rsid w:val="009657BE"/>
    <w:rsid w:val="0097035D"/>
    <w:rsid w:val="00971AD7"/>
    <w:rsid w:val="00973D6D"/>
    <w:rsid w:val="00973F01"/>
    <w:rsid w:val="009743CB"/>
    <w:rsid w:val="00974BD4"/>
    <w:rsid w:val="00974F03"/>
    <w:rsid w:val="00975FAB"/>
    <w:rsid w:val="009768F2"/>
    <w:rsid w:val="0097703B"/>
    <w:rsid w:val="00977124"/>
    <w:rsid w:val="00977CFC"/>
    <w:rsid w:val="00980823"/>
    <w:rsid w:val="00980B54"/>
    <w:rsid w:val="00981EE8"/>
    <w:rsid w:val="00983280"/>
    <w:rsid w:val="009849EF"/>
    <w:rsid w:val="00985D96"/>
    <w:rsid w:val="0098611D"/>
    <w:rsid w:val="009863E6"/>
    <w:rsid w:val="0098654C"/>
    <w:rsid w:val="00986B4F"/>
    <w:rsid w:val="009901F6"/>
    <w:rsid w:val="0099167E"/>
    <w:rsid w:val="00991783"/>
    <w:rsid w:val="00993214"/>
    <w:rsid w:val="009944D0"/>
    <w:rsid w:val="00995D41"/>
    <w:rsid w:val="009973E2"/>
    <w:rsid w:val="009A160F"/>
    <w:rsid w:val="009A3612"/>
    <w:rsid w:val="009A6857"/>
    <w:rsid w:val="009A7A00"/>
    <w:rsid w:val="009B321E"/>
    <w:rsid w:val="009B4DFC"/>
    <w:rsid w:val="009B4E49"/>
    <w:rsid w:val="009B4FF7"/>
    <w:rsid w:val="009C00D3"/>
    <w:rsid w:val="009C0D72"/>
    <w:rsid w:val="009C1B60"/>
    <w:rsid w:val="009C578B"/>
    <w:rsid w:val="009C755D"/>
    <w:rsid w:val="009C7B77"/>
    <w:rsid w:val="009C7FB1"/>
    <w:rsid w:val="009D07C5"/>
    <w:rsid w:val="009D0F1B"/>
    <w:rsid w:val="009D1DAD"/>
    <w:rsid w:val="009D30B9"/>
    <w:rsid w:val="009D39BF"/>
    <w:rsid w:val="009D53B5"/>
    <w:rsid w:val="009D610E"/>
    <w:rsid w:val="009D65CC"/>
    <w:rsid w:val="009E0409"/>
    <w:rsid w:val="009E1DFC"/>
    <w:rsid w:val="009E43C2"/>
    <w:rsid w:val="009E4B4B"/>
    <w:rsid w:val="009E64D0"/>
    <w:rsid w:val="009F019C"/>
    <w:rsid w:val="009F2065"/>
    <w:rsid w:val="009F38D4"/>
    <w:rsid w:val="009F4232"/>
    <w:rsid w:val="009F4A58"/>
    <w:rsid w:val="009F5D31"/>
    <w:rsid w:val="009F6C34"/>
    <w:rsid w:val="00A01055"/>
    <w:rsid w:val="00A016A9"/>
    <w:rsid w:val="00A02012"/>
    <w:rsid w:val="00A02690"/>
    <w:rsid w:val="00A02C57"/>
    <w:rsid w:val="00A04A39"/>
    <w:rsid w:val="00A05DE4"/>
    <w:rsid w:val="00A07725"/>
    <w:rsid w:val="00A07985"/>
    <w:rsid w:val="00A104B8"/>
    <w:rsid w:val="00A104D4"/>
    <w:rsid w:val="00A12A42"/>
    <w:rsid w:val="00A12D63"/>
    <w:rsid w:val="00A15C0C"/>
    <w:rsid w:val="00A17D07"/>
    <w:rsid w:val="00A20327"/>
    <w:rsid w:val="00A2165D"/>
    <w:rsid w:val="00A223DE"/>
    <w:rsid w:val="00A22560"/>
    <w:rsid w:val="00A226C7"/>
    <w:rsid w:val="00A22B12"/>
    <w:rsid w:val="00A22E96"/>
    <w:rsid w:val="00A2409E"/>
    <w:rsid w:val="00A24108"/>
    <w:rsid w:val="00A247D0"/>
    <w:rsid w:val="00A26008"/>
    <w:rsid w:val="00A262B4"/>
    <w:rsid w:val="00A26FDD"/>
    <w:rsid w:val="00A26FDF"/>
    <w:rsid w:val="00A271B6"/>
    <w:rsid w:val="00A27C7F"/>
    <w:rsid w:val="00A30821"/>
    <w:rsid w:val="00A30FC1"/>
    <w:rsid w:val="00A36109"/>
    <w:rsid w:val="00A37E04"/>
    <w:rsid w:val="00A422C0"/>
    <w:rsid w:val="00A42315"/>
    <w:rsid w:val="00A42CAE"/>
    <w:rsid w:val="00A4323D"/>
    <w:rsid w:val="00A43E09"/>
    <w:rsid w:val="00A4419A"/>
    <w:rsid w:val="00A4437B"/>
    <w:rsid w:val="00A44D81"/>
    <w:rsid w:val="00A46FFF"/>
    <w:rsid w:val="00A47B82"/>
    <w:rsid w:val="00A5107C"/>
    <w:rsid w:val="00A513CD"/>
    <w:rsid w:val="00A5151B"/>
    <w:rsid w:val="00A51775"/>
    <w:rsid w:val="00A5651F"/>
    <w:rsid w:val="00A5698F"/>
    <w:rsid w:val="00A62076"/>
    <w:rsid w:val="00A620C6"/>
    <w:rsid w:val="00A63EB3"/>
    <w:rsid w:val="00A64643"/>
    <w:rsid w:val="00A67D7D"/>
    <w:rsid w:val="00A67EDB"/>
    <w:rsid w:val="00A703EF"/>
    <w:rsid w:val="00A71E54"/>
    <w:rsid w:val="00A74AC4"/>
    <w:rsid w:val="00A756D4"/>
    <w:rsid w:val="00A763BD"/>
    <w:rsid w:val="00A821FB"/>
    <w:rsid w:val="00A82C92"/>
    <w:rsid w:val="00A83152"/>
    <w:rsid w:val="00A8344E"/>
    <w:rsid w:val="00A842D5"/>
    <w:rsid w:val="00A86E87"/>
    <w:rsid w:val="00A87235"/>
    <w:rsid w:val="00A90800"/>
    <w:rsid w:val="00A91173"/>
    <w:rsid w:val="00A91267"/>
    <w:rsid w:val="00A91333"/>
    <w:rsid w:val="00A9253E"/>
    <w:rsid w:val="00A93369"/>
    <w:rsid w:val="00A95A1C"/>
    <w:rsid w:val="00A9679A"/>
    <w:rsid w:val="00AA03FF"/>
    <w:rsid w:val="00AA0980"/>
    <w:rsid w:val="00AA0C68"/>
    <w:rsid w:val="00AA17A6"/>
    <w:rsid w:val="00AA1B23"/>
    <w:rsid w:val="00AA285F"/>
    <w:rsid w:val="00AA3378"/>
    <w:rsid w:val="00AA39A1"/>
    <w:rsid w:val="00AA3A70"/>
    <w:rsid w:val="00AA59AA"/>
    <w:rsid w:val="00AA65C5"/>
    <w:rsid w:val="00AA74FE"/>
    <w:rsid w:val="00AB14BF"/>
    <w:rsid w:val="00AB14C4"/>
    <w:rsid w:val="00AB1B70"/>
    <w:rsid w:val="00AB1CCE"/>
    <w:rsid w:val="00AB2793"/>
    <w:rsid w:val="00AB2826"/>
    <w:rsid w:val="00AB2F1F"/>
    <w:rsid w:val="00AB39A0"/>
    <w:rsid w:val="00AB3C8B"/>
    <w:rsid w:val="00AB45E7"/>
    <w:rsid w:val="00AB47CE"/>
    <w:rsid w:val="00AB6F9D"/>
    <w:rsid w:val="00AC1B5F"/>
    <w:rsid w:val="00AC281B"/>
    <w:rsid w:val="00AC5843"/>
    <w:rsid w:val="00AD011E"/>
    <w:rsid w:val="00AD030D"/>
    <w:rsid w:val="00AD117F"/>
    <w:rsid w:val="00AD3079"/>
    <w:rsid w:val="00AD651C"/>
    <w:rsid w:val="00AE00E7"/>
    <w:rsid w:val="00AE0D20"/>
    <w:rsid w:val="00AE192F"/>
    <w:rsid w:val="00AE20DD"/>
    <w:rsid w:val="00AE7186"/>
    <w:rsid w:val="00AE7A47"/>
    <w:rsid w:val="00AF010A"/>
    <w:rsid w:val="00AF0E24"/>
    <w:rsid w:val="00AF519D"/>
    <w:rsid w:val="00AF68E7"/>
    <w:rsid w:val="00AF740A"/>
    <w:rsid w:val="00AF7809"/>
    <w:rsid w:val="00B00EAA"/>
    <w:rsid w:val="00B03FDC"/>
    <w:rsid w:val="00B04A8A"/>
    <w:rsid w:val="00B07535"/>
    <w:rsid w:val="00B075A9"/>
    <w:rsid w:val="00B112B3"/>
    <w:rsid w:val="00B122F5"/>
    <w:rsid w:val="00B1275E"/>
    <w:rsid w:val="00B12B66"/>
    <w:rsid w:val="00B132AE"/>
    <w:rsid w:val="00B149FE"/>
    <w:rsid w:val="00B15A49"/>
    <w:rsid w:val="00B16517"/>
    <w:rsid w:val="00B17957"/>
    <w:rsid w:val="00B210C0"/>
    <w:rsid w:val="00B21C5E"/>
    <w:rsid w:val="00B227A2"/>
    <w:rsid w:val="00B22D7B"/>
    <w:rsid w:val="00B243F7"/>
    <w:rsid w:val="00B24DAF"/>
    <w:rsid w:val="00B25599"/>
    <w:rsid w:val="00B30C42"/>
    <w:rsid w:val="00B31367"/>
    <w:rsid w:val="00B323A6"/>
    <w:rsid w:val="00B3247E"/>
    <w:rsid w:val="00B331A0"/>
    <w:rsid w:val="00B339B0"/>
    <w:rsid w:val="00B34C6A"/>
    <w:rsid w:val="00B352E2"/>
    <w:rsid w:val="00B357C2"/>
    <w:rsid w:val="00B35A4E"/>
    <w:rsid w:val="00B41AF0"/>
    <w:rsid w:val="00B439A3"/>
    <w:rsid w:val="00B43F50"/>
    <w:rsid w:val="00B44197"/>
    <w:rsid w:val="00B454E0"/>
    <w:rsid w:val="00B476DF"/>
    <w:rsid w:val="00B47896"/>
    <w:rsid w:val="00B47DC3"/>
    <w:rsid w:val="00B47E23"/>
    <w:rsid w:val="00B5159F"/>
    <w:rsid w:val="00B5169A"/>
    <w:rsid w:val="00B52500"/>
    <w:rsid w:val="00B5287D"/>
    <w:rsid w:val="00B54B20"/>
    <w:rsid w:val="00B55686"/>
    <w:rsid w:val="00B57A7E"/>
    <w:rsid w:val="00B6739F"/>
    <w:rsid w:val="00B675CE"/>
    <w:rsid w:val="00B67961"/>
    <w:rsid w:val="00B71AFB"/>
    <w:rsid w:val="00B731A0"/>
    <w:rsid w:val="00B734D2"/>
    <w:rsid w:val="00B73CF1"/>
    <w:rsid w:val="00B742B6"/>
    <w:rsid w:val="00B754F0"/>
    <w:rsid w:val="00B757CC"/>
    <w:rsid w:val="00B75A39"/>
    <w:rsid w:val="00B7690E"/>
    <w:rsid w:val="00B77273"/>
    <w:rsid w:val="00B77385"/>
    <w:rsid w:val="00B81620"/>
    <w:rsid w:val="00B81DD1"/>
    <w:rsid w:val="00B82C15"/>
    <w:rsid w:val="00B84A75"/>
    <w:rsid w:val="00B85579"/>
    <w:rsid w:val="00B855DB"/>
    <w:rsid w:val="00B8590C"/>
    <w:rsid w:val="00B864B3"/>
    <w:rsid w:val="00B87B3D"/>
    <w:rsid w:val="00B90AAC"/>
    <w:rsid w:val="00B90DA0"/>
    <w:rsid w:val="00B92141"/>
    <w:rsid w:val="00B93658"/>
    <w:rsid w:val="00B93C52"/>
    <w:rsid w:val="00B93D85"/>
    <w:rsid w:val="00B9475D"/>
    <w:rsid w:val="00B94B02"/>
    <w:rsid w:val="00B94BF3"/>
    <w:rsid w:val="00B9557B"/>
    <w:rsid w:val="00B9585C"/>
    <w:rsid w:val="00B96857"/>
    <w:rsid w:val="00B96AF6"/>
    <w:rsid w:val="00B97388"/>
    <w:rsid w:val="00B97AE9"/>
    <w:rsid w:val="00BA0899"/>
    <w:rsid w:val="00BA23D7"/>
    <w:rsid w:val="00BA3214"/>
    <w:rsid w:val="00BA46D7"/>
    <w:rsid w:val="00BA5C5D"/>
    <w:rsid w:val="00BA5F81"/>
    <w:rsid w:val="00BA66BD"/>
    <w:rsid w:val="00BA6704"/>
    <w:rsid w:val="00BB1ACE"/>
    <w:rsid w:val="00BB35D5"/>
    <w:rsid w:val="00BB3C48"/>
    <w:rsid w:val="00BB5308"/>
    <w:rsid w:val="00BB74C3"/>
    <w:rsid w:val="00BC1BF5"/>
    <w:rsid w:val="00BC3162"/>
    <w:rsid w:val="00BC32AC"/>
    <w:rsid w:val="00BC3D38"/>
    <w:rsid w:val="00BC408B"/>
    <w:rsid w:val="00BC53EA"/>
    <w:rsid w:val="00BC72E0"/>
    <w:rsid w:val="00BC77A7"/>
    <w:rsid w:val="00BD192B"/>
    <w:rsid w:val="00BD1CE0"/>
    <w:rsid w:val="00BD3C9B"/>
    <w:rsid w:val="00BD4211"/>
    <w:rsid w:val="00BD580C"/>
    <w:rsid w:val="00BD59F8"/>
    <w:rsid w:val="00BE082D"/>
    <w:rsid w:val="00BE1581"/>
    <w:rsid w:val="00BE27CF"/>
    <w:rsid w:val="00BE27FA"/>
    <w:rsid w:val="00BE3747"/>
    <w:rsid w:val="00BE3D87"/>
    <w:rsid w:val="00BE527B"/>
    <w:rsid w:val="00BE529F"/>
    <w:rsid w:val="00BE6C52"/>
    <w:rsid w:val="00BE6E65"/>
    <w:rsid w:val="00BE7651"/>
    <w:rsid w:val="00BF00F6"/>
    <w:rsid w:val="00BF0EA6"/>
    <w:rsid w:val="00BF106E"/>
    <w:rsid w:val="00BF1E3C"/>
    <w:rsid w:val="00BF2FCF"/>
    <w:rsid w:val="00BF4426"/>
    <w:rsid w:val="00BF6670"/>
    <w:rsid w:val="00BF7CD8"/>
    <w:rsid w:val="00C0023A"/>
    <w:rsid w:val="00C002A6"/>
    <w:rsid w:val="00C00847"/>
    <w:rsid w:val="00C01189"/>
    <w:rsid w:val="00C02E93"/>
    <w:rsid w:val="00C04B76"/>
    <w:rsid w:val="00C06C2B"/>
    <w:rsid w:val="00C06D88"/>
    <w:rsid w:val="00C06E3E"/>
    <w:rsid w:val="00C07144"/>
    <w:rsid w:val="00C112B0"/>
    <w:rsid w:val="00C11D52"/>
    <w:rsid w:val="00C11DB0"/>
    <w:rsid w:val="00C11E09"/>
    <w:rsid w:val="00C12A2E"/>
    <w:rsid w:val="00C15365"/>
    <w:rsid w:val="00C169A0"/>
    <w:rsid w:val="00C17098"/>
    <w:rsid w:val="00C178FA"/>
    <w:rsid w:val="00C17AB4"/>
    <w:rsid w:val="00C21270"/>
    <w:rsid w:val="00C21C87"/>
    <w:rsid w:val="00C2472E"/>
    <w:rsid w:val="00C24CB3"/>
    <w:rsid w:val="00C24FCA"/>
    <w:rsid w:val="00C25416"/>
    <w:rsid w:val="00C26E86"/>
    <w:rsid w:val="00C275CC"/>
    <w:rsid w:val="00C30146"/>
    <w:rsid w:val="00C307FD"/>
    <w:rsid w:val="00C30A42"/>
    <w:rsid w:val="00C32A79"/>
    <w:rsid w:val="00C34170"/>
    <w:rsid w:val="00C348A1"/>
    <w:rsid w:val="00C35AEF"/>
    <w:rsid w:val="00C36007"/>
    <w:rsid w:val="00C37E9F"/>
    <w:rsid w:val="00C403F3"/>
    <w:rsid w:val="00C407B6"/>
    <w:rsid w:val="00C42990"/>
    <w:rsid w:val="00C444CE"/>
    <w:rsid w:val="00C4585F"/>
    <w:rsid w:val="00C4730C"/>
    <w:rsid w:val="00C47AF5"/>
    <w:rsid w:val="00C5054C"/>
    <w:rsid w:val="00C514C9"/>
    <w:rsid w:val="00C51DEE"/>
    <w:rsid w:val="00C52238"/>
    <w:rsid w:val="00C526E9"/>
    <w:rsid w:val="00C61C6C"/>
    <w:rsid w:val="00C6203B"/>
    <w:rsid w:val="00C63B73"/>
    <w:rsid w:val="00C64327"/>
    <w:rsid w:val="00C64807"/>
    <w:rsid w:val="00C65B4D"/>
    <w:rsid w:val="00C65E5D"/>
    <w:rsid w:val="00C67A21"/>
    <w:rsid w:val="00C741BD"/>
    <w:rsid w:val="00C74380"/>
    <w:rsid w:val="00C766B2"/>
    <w:rsid w:val="00C76B49"/>
    <w:rsid w:val="00C80765"/>
    <w:rsid w:val="00C80BDA"/>
    <w:rsid w:val="00C80F35"/>
    <w:rsid w:val="00C81954"/>
    <w:rsid w:val="00C82923"/>
    <w:rsid w:val="00C84481"/>
    <w:rsid w:val="00C844AF"/>
    <w:rsid w:val="00C86374"/>
    <w:rsid w:val="00C868D5"/>
    <w:rsid w:val="00C8693F"/>
    <w:rsid w:val="00C8750A"/>
    <w:rsid w:val="00C93259"/>
    <w:rsid w:val="00C94490"/>
    <w:rsid w:val="00C94FE4"/>
    <w:rsid w:val="00C959F0"/>
    <w:rsid w:val="00C96157"/>
    <w:rsid w:val="00C96A08"/>
    <w:rsid w:val="00CA0730"/>
    <w:rsid w:val="00CA080E"/>
    <w:rsid w:val="00CA0957"/>
    <w:rsid w:val="00CA0BAF"/>
    <w:rsid w:val="00CA1453"/>
    <w:rsid w:val="00CA1749"/>
    <w:rsid w:val="00CA1E8F"/>
    <w:rsid w:val="00CA31C9"/>
    <w:rsid w:val="00CA4F78"/>
    <w:rsid w:val="00CA669E"/>
    <w:rsid w:val="00CA6DDE"/>
    <w:rsid w:val="00CA72DE"/>
    <w:rsid w:val="00CB29C0"/>
    <w:rsid w:val="00CB7205"/>
    <w:rsid w:val="00CB7A91"/>
    <w:rsid w:val="00CB7B48"/>
    <w:rsid w:val="00CB7E76"/>
    <w:rsid w:val="00CC031B"/>
    <w:rsid w:val="00CC19AD"/>
    <w:rsid w:val="00CC2658"/>
    <w:rsid w:val="00CC3177"/>
    <w:rsid w:val="00CC31D0"/>
    <w:rsid w:val="00CC5810"/>
    <w:rsid w:val="00CC5ACD"/>
    <w:rsid w:val="00CC5B4B"/>
    <w:rsid w:val="00CC5E05"/>
    <w:rsid w:val="00CC6C4B"/>
    <w:rsid w:val="00CC6D8F"/>
    <w:rsid w:val="00CC7D34"/>
    <w:rsid w:val="00CD0095"/>
    <w:rsid w:val="00CD136D"/>
    <w:rsid w:val="00CD16DF"/>
    <w:rsid w:val="00CD1D8F"/>
    <w:rsid w:val="00CD303A"/>
    <w:rsid w:val="00CD3A78"/>
    <w:rsid w:val="00CD4481"/>
    <w:rsid w:val="00CD5448"/>
    <w:rsid w:val="00CE09D6"/>
    <w:rsid w:val="00CE0C33"/>
    <w:rsid w:val="00CE0F4A"/>
    <w:rsid w:val="00CE1E07"/>
    <w:rsid w:val="00CE2CE8"/>
    <w:rsid w:val="00CE4D0D"/>
    <w:rsid w:val="00CE6026"/>
    <w:rsid w:val="00CF0CC6"/>
    <w:rsid w:val="00CF35CC"/>
    <w:rsid w:val="00CF507B"/>
    <w:rsid w:val="00CF619F"/>
    <w:rsid w:val="00CF7853"/>
    <w:rsid w:val="00D00848"/>
    <w:rsid w:val="00D01095"/>
    <w:rsid w:val="00D017FF"/>
    <w:rsid w:val="00D01FE4"/>
    <w:rsid w:val="00D020DC"/>
    <w:rsid w:val="00D04F05"/>
    <w:rsid w:val="00D057E7"/>
    <w:rsid w:val="00D06DE9"/>
    <w:rsid w:val="00D07925"/>
    <w:rsid w:val="00D11BB4"/>
    <w:rsid w:val="00D12496"/>
    <w:rsid w:val="00D13BA7"/>
    <w:rsid w:val="00D14EB5"/>
    <w:rsid w:val="00D156E3"/>
    <w:rsid w:val="00D15F9C"/>
    <w:rsid w:val="00D16D0A"/>
    <w:rsid w:val="00D175D7"/>
    <w:rsid w:val="00D20B0B"/>
    <w:rsid w:val="00D21726"/>
    <w:rsid w:val="00D21876"/>
    <w:rsid w:val="00D24E17"/>
    <w:rsid w:val="00D255F8"/>
    <w:rsid w:val="00D26C2F"/>
    <w:rsid w:val="00D27482"/>
    <w:rsid w:val="00D27ED4"/>
    <w:rsid w:val="00D300AE"/>
    <w:rsid w:val="00D30F55"/>
    <w:rsid w:val="00D3124F"/>
    <w:rsid w:val="00D312CF"/>
    <w:rsid w:val="00D327EC"/>
    <w:rsid w:val="00D33964"/>
    <w:rsid w:val="00D33EC5"/>
    <w:rsid w:val="00D33FF8"/>
    <w:rsid w:val="00D346E4"/>
    <w:rsid w:val="00D37340"/>
    <w:rsid w:val="00D411A0"/>
    <w:rsid w:val="00D4151B"/>
    <w:rsid w:val="00D41F9C"/>
    <w:rsid w:val="00D420B0"/>
    <w:rsid w:val="00D425DA"/>
    <w:rsid w:val="00D43789"/>
    <w:rsid w:val="00D44645"/>
    <w:rsid w:val="00D44B60"/>
    <w:rsid w:val="00D44E25"/>
    <w:rsid w:val="00D473BF"/>
    <w:rsid w:val="00D5009F"/>
    <w:rsid w:val="00D51255"/>
    <w:rsid w:val="00D52586"/>
    <w:rsid w:val="00D52A9E"/>
    <w:rsid w:val="00D52B06"/>
    <w:rsid w:val="00D53C1A"/>
    <w:rsid w:val="00D56EEB"/>
    <w:rsid w:val="00D602E6"/>
    <w:rsid w:val="00D6040B"/>
    <w:rsid w:val="00D604D1"/>
    <w:rsid w:val="00D6075A"/>
    <w:rsid w:val="00D61877"/>
    <w:rsid w:val="00D6252D"/>
    <w:rsid w:val="00D63026"/>
    <w:rsid w:val="00D63335"/>
    <w:rsid w:val="00D6361C"/>
    <w:rsid w:val="00D63CF7"/>
    <w:rsid w:val="00D64C1E"/>
    <w:rsid w:val="00D67301"/>
    <w:rsid w:val="00D7096B"/>
    <w:rsid w:val="00D70B44"/>
    <w:rsid w:val="00D72E13"/>
    <w:rsid w:val="00D75960"/>
    <w:rsid w:val="00D77968"/>
    <w:rsid w:val="00D81992"/>
    <w:rsid w:val="00D81B96"/>
    <w:rsid w:val="00D82404"/>
    <w:rsid w:val="00D82D6B"/>
    <w:rsid w:val="00D82FE6"/>
    <w:rsid w:val="00D84345"/>
    <w:rsid w:val="00D85854"/>
    <w:rsid w:val="00D85F39"/>
    <w:rsid w:val="00D86725"/>
    <w:rsid w:val="00D8673F"/>
    <w:rsid w:val="00D87E1E"/>
    <w:rsid w:val="00D91451"/>
    <w:rsid w:val="00D915F0"/>
    <w:rsid w:val="00D92698"/>
    <w:rsid w:val="00D93884"/>
    <w:rsid w:val="00D948F7"/>
    <w:rsid w:val="00D95A73"/>
    <w:rsid w:val="00D97C8C"/>
    <w:rsid w:val="00DA286E"/>
    <w:rsid w:val="00DA37D6"/>
    <w:rsid w:val="00DA3ABC"/>
    <w:rsid w:val="00DA51F1"/>
    <w:rsid w:val="00DA62D8"/>
    <w:rsid w:val="00DA66CE"/>
    <w:rsid w:val="00DA7FCD"/>
    <w:rsid w:val="00DB0097"/>
    <w:rsid w:val="00DB1FA6"/>
    <w:rsid w:val="00DB2D5A"/>
    <w:rsid w:val="00DB3497"/>
    <w:rsid w:val="00DB3F5F"/>
    <w:rsid w:val="00DB4B7A"/>
    <w:rsid w:val="00DB5168"/>
    <w:rsid w:val="00DB563F"/>
    <w:rsid w:val="00DB615C"/>
    <w:rsid w:val="00DB6BA9"/>
    <w:rsid w:val="00DB7212"/>
    <w:rsid w:val="00DC2E11"/>
    <w:rsid w:val="00DC6FE1"/>
    <w:rsid w:val="00DC756C"/>
    <w:rsid w:val="00DD012C"/>
    <w:rsid w:val="00DD063F"/>
    <w:rsid w:val="00DD12D7"/>
    <w:rsid w:val="00DD13B6"/>
    <w:rsid w:val="00DD17AD"/>
    <w:rsid w:val="00DD1999"/>
    <w:rsid w:val="00DD1E4F"/>
    <w:rsid w:val="00DD3080"/>
    <w:rsid w:val="00DD52E1"/>
    <w:rsid w:val="00DD6635"/>
    <w:rsid w:val="00DD6F72"/>
    <w:rsid w:val="00DD7CBB"/>
    <w:rsid w:val="00DE0D2B"/>
    <w:rsid w:val="00DE244C"/>
    <w:rsid w:val="00DE2F66"/>
    <w:rsid w:val="00DF1169"/>
    <w:rsid w:val="00DF1323"/>
    <w:rsid w:val="00DF1ED3"/>
    <w:rsid w:val="00DF3B09"/>
    <w:rsid w:val="00DF4D3E"/>
    <w:rsid w:val="00DF5A91"/>
    <w:rsid w:val="00DF6B18"/>
    <w:rsid w:val="00DF6C60"/>
    <w:rsid w:val="00DF7E75"/>
    <w:rsid w:val="00E00EAE"/>
    <w:rsid w:val="00E017E7"/>
    <w:rsid w:val="00E02227"/>
    <w:rsid w:val="00E023C5"/>
    <w:rsid w:val="00E041BB"/>
    <w:rsid w:val="00E04422"/>
    <w:rsid w:val="00E0521B"/>
    <w:rsid w:val="00E058E2"/>
    <w:rsid w:val="00E100D9"/>
    <w:rsid w:val="00E10394"/>
    <w:rsid w:val="00E1043B"/>
    <w:rsid w:val="00E10615"/>
    <w:rsid w:val="00E1126E"/>
    <w:rsid w:val="00E12138"/>
    <w:rsid w:val="00E16C2C"/>
    <w:rsid w:val="00E20B47"/>
    <w:rsid w:val="00E21AF5"/>
    <w:rsid w:val="00E21D9E"/>
    <w:rsid w:val="00E24EF9"/>
    <w:rsid w:val="00E25275"/>
    <w:rsid w:val="00E25805"/>
    <w:rsid w:val="00E25C6A"/>
    <w:rsid w:val="00E26E5F"/>
    <w:rsid w:val="00E30391"/>
    <w:rsid w:val="00E31895"/>
    <w:rsid w:val="00E31910"/>
    <w:rsid w:val="00E34318"/>
    <w:rsid w:val="00E36E78"/>
    <w:rsid w:val="00E3718B"/>
    <w:rsid w:val="00E37958"/>
    <w:rsid w:val="00E401A7"/>
    <w:rsid w:val="00E414E9"/>
    <w:rsid w:val="00E42558"/>
    <w:rsid w:val="00E43370"/>
    <w:rsid w:val="00E43859"/>
    <w:rsid w:val="00E45CB3"/>
    <w:rsid w:val="00E46135"/>
    <w:rsid w:val="00E461AF"/>
    <w:rsid w:val="00E46378"/>
    <w:rsid w:val="00E467C3"/>
    <w:rsid w:val="00E50953"/>
    <w:rsid w:val="00E51282"/>
    <w:rsid w:val="00E52490"/>
    <w:rsid w:val="00E526E7"/>
    <w:rsid w:val="00E53436"/>
    <w:rsid w:val="00E539FE"/>
    <w:rsid w:val="00E53A22"/>
    <w:rsid w:val="00E54325"/>
    <w:rsid w:val="00E55427"/>
    <w:rsid w:val="00E56FDC"/>
    <w:rsid w:val="00E57D10"/>
    <w:rsid w:val="00E60B78"/>
    <w:rsid w:val="00E619B3"/>
    <w:rsid w:val="00E62417"/>
    <w:rsid w:val="00E6512F"/>
    <w:rsid w:val="00E651A2"/>
    <w:rsid w:val="00E654AE"/>
    <w:rsid w:val="00E65B5B"/>
    <w:rsid w:val="00E67DC6"/>
    <w:rsid w:val="00E70939"/>
    <w:rsid w:val="00E71868"/>
    <w:rsid w:val="00E72505"/>
    <w:rsid w:val="00E80968"/>
    <w:rsid w:val="00E823B4"/>
    <w:rsid w:val="00E854C4"/>
    <w:rsid w:val="00E854FE"/>
    <w:rsid w:val="00E8628A"/>
    <w:rsid w:val="00E90503"/>
    <w:rsid w:val="00E90DE4"/>
    <w:rsid w:val="00E92063"/>
    <w:rsid w:val="00E92087"/>
    <w:rsid w:val="00E9325B"/>
    <w:rsid w:val="00E93AC9"/>
    <w:rsid w:val="00E95042"/>
    <w:rsid w:val="00E9536C"/>
    <w:rsid w:val="00EA0003"/>
    <w:rsid w:val="00EA0426"/>
    <w:rsid w:val="00EA3187"/>
    <w:rsid w:val="00EA3F5F"/>
    <w:rsid w:val="00EA3F9E"/>
    <w:rsid w:val="00EA53D6"/>
    <w:rsid w:val="00EA5797"/>
    <w:rsid w:val="00EA5F79"/>
    <w:rsid w:val="00EA6AC7"/>
    <w:rsid w:val="00EA717B"/>
    <w:rsid w:val="00EA7927"/>
    <w:rsid w:val="00EB1447"/>
    <w:rsid w:val="00EB2F07"/>
    <w:rsid w:val="00EB3D8F"/>
    <w:rsid w:val="00EB3ED8"/>
    <w:rsid w:val="00EB44CA"/>
    <w:rsid w:val="00EB5B60"/>
    <w:rsid w:val="00EB7023"/>
    <w:rsid w:val="00EC1066"/>
    <w:rsid w:val="00EC14D6"/>
    <w:rsid w:val="00EC2BD8"/>
    <w:rsid w:val="00EC4609"/>
    <w:rsid w:val="00EC5B05"/>
    <w:rsid w:val="00ED153C"/>
    <w:rsid w:val="00ED269E"/>
    <w:rsid w:val="00ED426F"/>
    <w:rsid w:val="00ED5640"/>
    <w:rsid w:val="00ED5E3F"/>
    <w:rsid w:val="00ED6122"/>
    <w:rsid w:val="00ED6892"/>
    <w:rsid w:val="00EE3B8D"/>
    <w:rsid w:val="00EE4B34"/>
    <w:rsid w:val="00EE4E88"/>
    <w:rsid w:val="00EE50BE"/>
    <w:rsid w:val="00EE5B70"/>
    <w:rsid w:val="00EE5B81"/>
    <w:rsid w:val="00EE6F7F"/>
    <w:rsid w:val="00EF1097"/>
    <w:rsid w:val="00EF34D5"/>
    <w:rsid w:val="00EF41BE"/>
    <w:rsid w:val="00EF51CB"/>
    <w:rsid w:val="00EF56AC"/>
    <w:rsid w:val="00EF5F81"/>
    <w:rsid w:val="00EF630A"/>
    <w:rsid w:val="00EF7807"/>
    <w:rsid w:val="00F00906"/>
    <w:rsid w:val="00F0268E"/>
    <w:rsid w:val="00F05184"/>
    <w:rsid w:val="00F05C28"/>
    <w:rsid w:val="00F06F18"/>
    <w:rsid w:val="00F07BBC"/>
    <w:rsid w:val="00F10D5F"/>
    <w:rsid w:val="00F10DD3"/>
    <w:rsid w:val="00F130C0"/>
    <w:rsid w:val="00F13289"/>
    <w:rsid w:val="00F133F0"/>
    <w:rsid w:val="00F14478"/>
    <w:rsid w:val="00F15C21"/>
    <w:rsid w:val="00F16D62"/>
    <w:rsid w:val="00F206C6"/>
    <w:rsid w:val="00F20EF7"/>
    <w:rsid w:val="00F21175"/>
    <w:rsid w:val="00F211F5"/>
    <w:rsid w:val="00F247B7"/>
    <w:rsid w:val="00F31675"/>
    <w:rsid w:val="00F32154"/>
    <w:rsid w:val="00F32913"/>
    <w:rsid w:val="00F33473"/>
    <w:rsid w:val="00F33F9A"/>
    <w:rsid w:val="00F36262"/>
    <w:rsid w:val="00F36B8E"/>
    <w:rsid w:val="00F37AE4"/>
    <w:rsid w:val="00F40A44"/>
    <w:rsid w:val="00F418A4"/>
    <w:rsid w:val="00F42B7D"/>
    <w:rsid w:val="00F42ED2"/>
    <w:rsid w:val="00F452C1"/>
    <w:rsid w:val="00F4794B"/>
    <w:rsid w:val="00F50BC2"/>
    <w:rsid w:val="00F5102A"/>
    <w:rsid w:val="00F5143E"/>
    <w:rsid w:val="00F51A41"/>
    <w:rsid w:val="00F51A89"/>
    <w:rsid w:val="00F51F0C"/>
    <w:rsid w:val="00F52980"/>
    <w:rsid w:val="00F550D3"/>
    <w:rsid w:val="00F55F03"/>
    <w:rsid w:val="00F60482"/>
    <w:rsid w:val="00F61D53"/>
    <w:rsid w:val="00F651F3"/>
    <w:rsid w:val="00F659AB"/>
    <w:rsid w:val="00F65E26"/>
    <w:rsid w:val="00F670E9"/>
    <w:rsid w:val="00F67844"/>
    <w:rsid w:val="00F70228"/>
    <w:rsid w:val="00F70260"/>
    <w:rsid w:val="00F7147B"/>
    <w:rsid w:val="00F71C39"/>
    <w:rsid w:val="00F72E63"/>
    <w:rsid w:val="00F73164"/>
    <w:rsid w:val="00F73955"/>
    <w:rsid w:val="00F74BFF"/>
    <w:rsid w:val="00F7551E"/>
    <w:rsid w:val="00F77337"/>
    <w:rsid w:val="00F77B3E"/>
    <w:rsid w:val="00F77B6D"/>
    <w:rsid w:val="00F77FE1"/>
    <w:rsid w:val="00F80217"/>
    <w:rsid w:val="00F804E1"/>
    <w:rsid w:val="00F80C75"/>
    <w:rsid w:val="00F8294D"/>
    <w:rsid w:val="00F86E13"/>
    <w:rsid w:val="00F871FC"/>
    <w:rsid w:val="00F903E8"/>
    <w:rsid w:val="00F90568"/>
    <w:rsid w:val="00F90BB4"/>
    <w:rsid w:val="00F92002"/>
    <w:rsid w:val="00F9226F"/>
    <w:rsid w:val="00F93EAB"/>
    <w:rsid w:val="00F9600A"/>
    <w:rsid w:val="00F96DC5"/>
    <w:rsid w:val="00FA2549"/>
    <w:rsid w:val="00FA25C8"/>
    <w:rsid w:val="00FA3DC9"/>
    <w:rsid w:val="00FA528A"/>
    <w:rsid w:val="00FA5A41"/>
    <w:rsid w:val="00FA7AA3"/>
    <w:rsid w:val="00FB1ADF"/>
    <w:rsid w:val="00FB4150"/>
    <w:rsid w:val="00FB5442"/>
    <w:rsid w:val="00FB5DB7"/>
    <w:rsid w:val="00FB5E15"/>
    <w:rsid w:val="00FB6041"/>
    <w:rsid w:val="00FB6793"/>
    <w:rsid w:val="00FB6BA7"/>
    <w:rsid w:val="00FB6CCC"/>
    <w:rsid w:val="00FB7AFC"/>
    <w:rsid w:val="00FC04D6"/>
    <w:rsid w:val="00FC0F02"/>
    <w:rsid w:val="00FC2E51"/>
    <w:rsid w:val="00FC367B"/>
    <w:rsid w:val="00FC413C"/>
    <w:rsid w:val="00FC4301"/>
    <w:rsid w:val="00FC5042"/>
    <w:rsid w:val="00FC54C2"/>
    <w:rsid w:val="00FC5666"/>
    <w:rsid w:val="00FC60B6"/>
    <w:rsid w:val="00FC6D33"/>
    <w:rsid w:val="00FC7393"/>
    <w:rsid w:val="00FD0CE4"/>
    <w:rsid w:val="00FD6B5B"/>
    <w:rsid w:val="00FD751C"/>
    <w:rsid w:val="00FD7E59"/>
    <w:rsid w:val="00FE067E"/>
    <w:rsid w:val="00FE09CC"/>
    <w:rsid w:val="00FE11D8"/>
    <w:rsid w:val="00FE1A7C"/>
    <w:rsid w:val="00FE3FE4"/>
    <w:rsid w:val="00FE4CD1"/>
    <w:rsid w:val="00FE60EA"/>
    <w:rsid w:val="00FE68D3"/>
    <w:rsid w:val="00FE6AAA"/>
    <w:rsid w:val="00FF04DA"/>
    <w:rsid w:val="00FF19B0"/>
    <w:rsid w:val="00FF268B"/>
    <w:rsid w:val="00FF2B8D"/>
    <w:rsid w:val="00FF3485"/>
    <w:rsid w:val="00FF4114"/>
    <w:rsid w:val="00FF488B"/>
    <w:rsid w:val="00FF7458"/>
    <w:rsid w:val="00FF7B35"/>
    <w:rsid w:val="00FF7C4D"/>
    <w:rsid w:val="00FF7E1C"/>
    <w:rsid w:val="07E061C2"/>
    <w:rsid w:val="5DC27C26"/>
    <w:rsid w:val="6898998C"/>
    <w:rsid w:val="6CB5E998"/>
    <w:rsid w:val="720CC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3DA3B285"/>
  <w15:docId w15:val="{C26E153F-392F-472A-A25A-A45224794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745823"/>
    <w:rPr>
      <w:rFonts w:eastAsia="MS Mincho"/>
      <w:sz w:val="24"/>
      <w:szCs w:val="24"/>
      <w:lang w:eastAsia="ja-JP"/>
    </w:rPr>
  </w:style>
  <w:style w:type="paragraph" w:styleId="Titolo1">
    <w:name w:val="heading 1"/>
    <w:basedOn w:val="Normale"/>
    <w:next w:val="Normale"/>
    <w:link w:val="Titolo1Carattere"/>
    <w:qFormat/>
    <w:rsid w:val="006F644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5B7099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745823"/>
    <w:rPr>
      <w:color w:val="008080"/>
      <w:u w:val="single"/>
    </w:rPr>
  </w:style>
  <w:style w:type="paragraph" w:styleId="Corpotesto">
    <w:name w:val="Body Text"/>
    <w:basedOn w:val="Normale"/>
    <w:link w:val="CorpotestoCarattere"/>
    <w:rsid w:val="00745823"/>
    <w:pPr>
      <w:jc w:val="center"/>
    </w:pPr>
    <w:rPr>
      <w:rFonts w:ascii="Arial" w:eastAsia="Times New Roman" w:hAnsi="Arial"/>
      <w:sz w:val="22"/>
      <w:szCs w:val="20"/>
      <w:lang w:eastAsia="en-US"/>
    </w:rPr>
  </w:style>
  <w:style w:type="paragraph" w:styleId="Testonotadichiusura">
    <w:name w:val="endnote text"/>
    <w:basedOn w:val="Normale"/>
    <w:semiHidden/>
    <w:rsid w:val="00745823"/>
    <w:rPr>
      <w:rFonts w:eastAsia="Times New Roman"/>
      <w:sz w:val="20"/>
      <w:szCs w:val="20"/>
      <w:lang w:eastAsia="en-US"/>
    </w:rPr>
  </w:style>
  <w:style w:type="paragraph" w:customStyle="1" w:styleId="StyleBodyTextBold">
    <w:name w:val="Style Body Text + Bold"/>
    <w:basedOn w:val="Corpotesto"/>
    <w:link w:val="StyleBodyTextBoldChar"/>
    <w:rsid w:val="00745823"/>
    <w:rPr>
      <w:b/>
      <w:bCs/>
    </w:rPr>
  </w:style>
  <w:style w:type="character" w:customStyle="1" w:styleId="CorpotestoCarattere">
    <w:name w:val="Corpo testo Carattere"/>
    <w:link w:val="Corpotesto"/>
    <w:rsid w:val="00745823"/>
    <w:rPr>
      <w:rFonts w:ascii="Arial" w:hAnsi="Arial"/>
      <w:sz w:val="22"/>
      <w:lang w:val="en-US" w:eastAsia="en-US" w:bidi="ar-SA"/>
    </w:rPr>
  </w:style>
  <w:style w:type="character" w:customStyle="1" w:styleId="StyleBodyTextBoldChar">
    <w:name w:val="Style Body Text + Bold Char"/>
    <w:link w:val="StyleBodyTextBold"/>
    <w:rsid w:val="00745823"/>
    <w:rPr>
      <w:rFonts w:ascii="Arial" w:hAnsi="Arial"/>
      <w:b/>
      <w:bCs/>
      <w:sz w:val="22"/>
      <w:lang w:val="en-US" w:eastAsia="en-US" w:bidi="ar-SA"/>
    </w:rPr>
  </w:style>
  <w:style w:type="paragraph" w:styleId="Corpodeltesto2">
    <w:name w:val="Body Text 2"/>
    <w:basedOn w:val="Normale"/>
    <w:rsid w:val="00745823"/>
    <w:pPr>
      <w:spacing w:after="120" w:line="480" w:lineRule="auto"/>
    </w:pPr>
  </w:style>
  <w:style w:type="paragraph" w:styleId="Intestazione">
    <w:name w:val="header"/>
    <w:basedOn w:val="Normale"/>
    <w:link w:val="IntestazioneCarattere"/>
    <w:rsid w:val="00745823"/>
    <w:pPr>
      <w:tabs>
        <w:tab w:val="center" w:pos="4320"/>
        <w:tab w:val="right" w:pos="8640"/>
      </w:tabs>
    </w:pPr>
  </w:style>
  <w:style w:type="character" w:styleId="Numeropagina">
    <w:name w:val="page number"/>
    <w:basedOn w:val="Carpredefinitoparagrafo"/>
    <w:uiPriority w:val="99"/>
    <w:rsid w:val="00745823"/>
  </w:style>
  <w:style w:type="paragraph" w:styleId="Testofumetto">
    <w:name w:val="Balloon Text"/>
    <w:basedOn w:val="Normale"/>
    <w:semiHidden/>
    <w:rsid w:val="00745823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rsid w:val="00745823"/>
    <w:pPr>
      <w:tabs>
        <w:tab w:val="center" w:pos="4320"/>
        <w:tab w:val="right" w:pos="8640"/>
      </w:tabs>
    </w:pPr>
  </w:style>
  <w:style w:type="paragraph" w:styleId="NormaleWeb">
    <w:name w:val="Normal (Web)"/>
    <w:basedOn w:val="Normale"/>
    <w:uiPriority w:val="99"/>
    <w:rsid w:val="00913DE7"/>
    <w:pPr>
      <w:spacing w:before="100" w:beforeAutospacing="1" w:after="100" w:afterAutospacing="1"/>
    </w:pPr>
    <w:rPr>
      <w:rFonts w:eastAsia="Malgun Gothic"/>
      <w:lang w:eastAsia="en-US"/>
    </w:rPr>
  </w:style>
  <w:style w:type="character" w:customStyle="1" w:styleId="ft">
    <w:name w:val="ft"/>
    <w:rsid w:val="00913DE7"/>
  </w:style>
  <w:style w:type="character" w:styleId="Collegamentovisitato">
    <w:name w:val="FollowedHyperlink"/>
    <w:rsid w:val="00496C01"/>
    <w:rPr>
      <w:color w:val="800080"/>
      <w:u w:val="single"/>
    </w:rPr>
  </w:style>
  <w:style w:type="paragraph" w:customStyle="1" w:styleId="Default">
    <w:name w:val="Default"/>
    <w:rsid w:val="00CD0095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Menzionenonrisolta1">
    <w:name w:val="Menzione non risolta1"/>
    <w:uiPriority w:val="99"/>
    <w:unhideWhenUsed/>
    <w:rsid w:val="00066ED1"/>
    <w:rPr>
      <w:color w:val="605E5C"/>
      <w:shd w:val="clear" w:color="auto" w:fill="E1DFDD"/>
    </w:rPr>
  </w:style>
  <w:style w:type="character" w:styleId="Rimandocommento">
    <w:name w:val="annotation reference"/>
    <w:uiPriority w:val="99"/>
    <w:rsid w:val="005341B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rsid w:val="005341B4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rsid w:val="005341B4"/>
    <w:rPr>
      <w:rFonts w:eastAsia="MS Mincho"/>
      <w:lang w:eastAsia="ja-JP"/>
    </w:rPr>
  </w:style>
  <w:style w:type="paragraph" w:styleId="Soggettocommento">
    <w:name w:val="annotation subject"/>
    <w:basedOn w:val="Testocommento"/>
    <w:next w:val="Testocommento"/>
    <w:link w:val="SoggettocommentoCarattere"/>
    <w:rsid w:val="005341B4"/>
    <w:rPr>
      <w:b/>
      <w:bCs/>
    </w:rPr>
  </w:style>
  <w:style w:type="character" w:customStyle="1" w:styleId="SoggettocommentoCarattere">
    <w:name w:val="Soggetto commento Carattere"/>
    <w:link w:val="Soggettocommento"/>
    <w:rsid w:val="005341B4"/>
    <w:rPr>
      <w:rFonts w:eastAsia="MS Mincho"/>
      <w:b/>
      <w:bCs/>
      <w:lang w:eastAsia="ja-JP"/>
    </w:rPr>
  </w:style>
  <w:style w:type="paragraph" w:customStyle="1" w:styleId="Body">
    <w:name w:val="Body"/>
    <w:link w:val="BodyChar"/>
    <w:rsid w:val="005F474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sz w:val="24"/>
      <w:szCs w:val="24"/>
      <w:u w:color="000000"/>
      <w:bdr w:val="nil"/>
    </w:rPr>
  </w:style>
  <w:style w:type="character" w:customStyle="1" w:styleId="BodyChar">
    <w:name w:val="Body Char"/>
    <w:link w:val="Body"/>
    <w:rsid w:val="005F474D"/>
    <w:rPr>
      <w:rFonts w:ascii="Calibri" w:eastAsia="Calibri" w:hAnsi="Calibri" w:cs="Calibri"/>
      <w:color w:val="000000"/>
      <w:sz w:val="24"/>
      <w:szCs w:val="24"/>
      <w:u w:color="000000"/>
      <w:bdr w:val="nil"/>
    </w:rPr>
  </w:style>
  <w:style w:type="paragraph" w:styleId="Paragrafoelenco">
    <w:name w:val="List Paragraph"/>
    <w:aliases w:val="Summary Bullets,Footer Setting,Bullet List,FooterText,List Paragraph1,numbered,Paragraphe de liste1,Bulletr List Paragraph,列出段落,列出段落1,List Paragraph2,List Paragraph21,Párrafo de lista1,Parágrafo da Lista1,リスト段落1,Listeafsnit1,Bullets"/>
    <w:basedOn w:val="Normale"/>
    <w:link w:val="ParagrafoelencoCarattere"/>
    <w:uiPriority w:val="34"/>
    <w:qFormat/>
    <w:rsid w:val="005F474D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Enfasigrassetto">
    <w:name w:val="Strong"/>
    <w:uiPriority w:val="22"/>
    <w:qFormat/>
    <w:rsid w:val="00B96857"/>
    <w:rPr>
      <w:b/>
      <w:bCs/>
    </w:rPr>
  </w:style>
  <w:style w:type="paragraph" w:styleId="Revisione">
    <w:name w:val="Revision"/>
    <w:hidden/>
    <w:uiPriority w:val="99"/>
    <w:semiHidden/>
    <w:rsid w:val="006E060D"/>
    <w:rPr>
      <w:rFonts w:eastAsia="MS Mincho"/>
      <w:sz w:val="24"/>
      <w:szCs w:val="24"/>
      <w:lang w:eastAsia="ja-JP"/>
    </w:rPr>
  </w:style>
  <w:style w:type="character" w:customStyle="1" w:styleId="ParagrafoelencoCarattere">
    <w:name w:val="Paragrafo elenco Carattere"/>
    <w:aliases w:val="Summary Bullets Carattere,Footer Setting Carattere,Bullet List Carattere,FooterText Carattere,List Paragraph1 Carattere,numbered Carattere,Paragraphe de liste1 Carattere,Bulletr List Paragraph Carattere,列出段落 Carattere"/>
    <w:link w:val="Paragrafoelenco"/>
    <w:uiPriority w:val="34"/>
    <w:locked/>
    <w:rsid w:val="00A226C7"/>
    <w:rPr>
      <w:rFonts w:ascii="Calibri" w:eastAsia="Calibri" w:hAnsi="Calibri"/>
      <w:sz w:val="22"/>
      <w:szCs w:val="22"/>
    </w:rPr>
  </w:style>
  <w:style w:type="paragraph" w:customStyle="1" w:styleId="xdefault">
    <w:name w:val="x_default"/>
    <w:basedOn w:val="Normale"/>
    <w:rsid w:val="00071275"/>
    <w:rPr>
      <w:rFonts w:ascii="Calibri" w:eastAsiaTheme="minorHAnsi" w:hAnsi="Calibri" w:cs="Calibri"/>
      <w:sz w:val="22"/>
      <w:szCs w:val="22"/>
      <w:lang w:eastAsia="en-US"/>
    </w:rPr>
  </w:style>
  <w:style w:type="table" w:styleId="Grigliatabella">
    <w:name w:val="Table Grid"/>
    <w:basedOn w:val="Tabellanormale"/>
    <w:rsid w:val="00DA3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stazioneCarattere">
    <w:name w:val="Intestazione Carattere"/>
    <w:basedOn w:val="Carpredefinitoparagrafo"/>
    <w:link w:val="Intestazione"/>
    <w:rsid w:val="007C22E1"/>
    <w:rPr>
      <w:rFonts w:eastAsia="MS Mincho"/>
      <w:sz w:val="24"/>
      <w:szCs w:val="24"/>
      <w:lang w:eastAsia="ja-JP"/>
    </w:rPr>
  </w:style>
  <w:style w:type="character" w:customStyle="1" w:styleId="Menzione1">
    <w:name w:val="Menzione1"/>
    <w:basedOn w:val="Carpredefinitoparagrafo"/>
    <w:uiPriority w:val="99"/>
    <w:unhideWhenUsed/>
    <w:rsid w:val="006E0FF3"/>
    <w:rPr>
      <w:color w:val="2B579A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B7099"/>
    <w:rPr>
      <w:b/>
      <w:bCs/>
      <w:sz w:val="36"/>
      <w:szCs w:val="36"/>
    </w:rPr>
  </w:style>
  <w:style w:type="character" w:customStyle="1" w:styleId="Titolo1Carattere">
    <w:name w:val="Titolo 1 Carattere"/>
    <w:basedOn w:val="Carpredefinitoparagrafo"/>
    <w:link w:val="Titolo1"/>
    <w:rsid w:val="006F644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ja-JP"/>
    </w:rPr>
  </w:style>
  <w:style w:type="character" w:customStyle="1" w:styleId="normaltextrun">
    <w:name w:val="normaltextrun"/>
    <w:basedOn w:val="Carpredefinitoparagrafo"/>
    <w:rsid w:val="00DB1FA6"/>
  </w:style>
  <w:style w:type="character" w:customStyle="1" w:styleId="bwuline">
    <w:name w:val="bwuline"/>
    <w:basedOn w:val="Carpredefinitoparagrafo"/>
    <w:rsid w:val="009E4B4B"/>
  </w:style>
  <w:style w:type="character" w:styleId="Menzionenonrisolta">
    <w:name w:val="Unresolved Mention"/>
    <w:basedOn w:val="Carpredefinitoparagrafo"/>
    <w:uiPriority w:val="99"/>
    <w:semiHidden/>
    <w:unhideWhenUsed/>
    <w:rsid w:val="00525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8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8974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148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6646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8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13674">
          <w:marLeft w:val="44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76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064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73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2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784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8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072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26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20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607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96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9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49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1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394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166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5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08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https://www.merck.com/news/mercks-keytruda-pembrolizumab-demonstrated-superior-disease-free-survival-dfs-compared-with-placebo-as-adjuvant-therapy-in-patients-with-renal-cell-carcinoma-rcc-following-surgery/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yperlink" Target="https://clinicaltrials.gov/ct2/show/NCT03142334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clinicaltrials.gov/" TargetMode="Externa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http://merck.creative.studios.s3-website-us-east-1.amazonaws.com/ASCO_2021/2021_ASCO_eCompendium_MSD_Presentations.pdf" TargetMode="External"/><Relationship Id="rId10" Type="http://schemas.openxmlformats.org/officeDocument/2006/relationships/webSettings" Target="webSetting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https://www.merck.com/news/merck-highlights-scientific-data-at-2021-asco-annual-meeting-across-more-than-20-cancer-types-from-broad-oncology-research-program/" TargetMode="External"/><Relationship Id="rId22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AB14B07499894289F4B4B4252F2BD9" ma:contentTypeVersion="13" ma:contentTypeDescription="Create a new document." ma:contentTypeScope="" ma:versionID="245e2b5b41a9bfcb9ae04c08a17e22d8">
  <xsd:schema xmlns:xsd="http://www.w3.org/2001/XMLSchema" xmlns:xs="http://www.w3.org/2001/XMLSchema" xmlns:p="http://schemas.microsoft.com/office/2006/metadata/properties" xmlns:ns3="0f494e19-c9f3-445a-9ccc-193bcf21adb4" xmlns:ns4="88442f50-e430-4b6a-ab3a-ef59ceef0b6f" targetNamespace="http://schemas.microsoft.com/office/2006/metadata/properties" ma:root="true" ma:fieldsID="f5362845cd20f22b99f5a79b1ad60481" ns3:_="" ns4:_="">
    <xsd:import namespace="0f494e19-c9f3-445a-9ccc-193bcf21adb4"/>
    <xsd:import namespace="88442f50-e430-4b6a-ab3a-ef59ceef0b6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494e19-c9f3-445a-9ccc-193bcf21ad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442f50-e430-4b6a-ab3a-ef59ceef0b6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6.xml><?xml version="1.0" encoding="utf-8"?>
<sisl xmlns:xsi="http://www.w3.org/2001/XMLSchema-instance" xmlns:xsd="http://www.w3.org/2001/XMLSchema" xmlns="http://www.boldonjames.com/2008/01/sie/internal/label" sislVersion="0" policy="a10f9ac0-5937-4b4f-b459-96aedd9ed2c5" origin="userSelected">
  <element uid="03ac5bc8-a729-4fd2-9278-917130bed417" value=""/>
</sisl>
</file>

<file path=customXml/itemProps1.xml><?xml version="1.0" encoding="utf-8"?>
<ds:datastoreItem xmlns:ds="http://schemas.openxmlformats.org/officeDocument/2006/customXml" ds:itemID="{DB9A3F0D-D11B-4982-9982-4B6478A2CF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494e19-c9f3-445a-9ccc-193bcf21adb4"/>
    <ds:schemaRef ds:uri="88442f50-e430-4b6a-ab3a-ef59ceef0b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8CE767-DE81-4E1B-A0EA-8979B089F21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105321C-6258-49E1-92A5-B8DCA5C0CA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788182E-800F-447B-BB12-A73FDB2B07CF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A7E18498-9BE5-4C28-925C-2A5D503E857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6.xml><?xml version="1.0" encoding="utf-8"?>
<ds:datastoreItem xmlns:ds="http://schemas.openxmlformats.org/officeDocument/2006/customXml" ds:itemID="{05F803D5-4912-4492-A8C9-55B548F198FB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1342</Words>
  <Characters>8319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Merck &amp; Co., Inc.</Company>
  <LinksUpToDate>false</LinksUpToDate>
  <CharactersWithSpaces>9642</CharactersWithSpaces>
  <SharedDoc>false</SharedDoc>
  <HLinks>
    <vt:vector size="42" baseType="variant">
      <vt:variant>
        <vt:i4>2424946</vt:i4>
      </vt:variant>
      <vt:variant>
        <vt:i4>9</vt:i4>
      </vt:variant>
      <vt:variant>
        <vt:i4>0</vt:i4>
      </vt:variant>
      <vt:variant>
        <vt:i4>5</vt:i4>
      </vt:variant>
      <vt:variant>
        <vt:lpwstr>https://cts.businesswire.com/ct/CT?id=smartlink&amp;url=https%3A%2F%2Fclinicaltrials.gov%2Fct2%2Fshow%2FNCT03142334&amp;esheet=52408350&amp;newsitemid=20210408005138&amp;lan=en-US&amp;anchor=NCT03142334&amp;index=1&amp;md5=019dc750404ba5c9f6ed6080d486e015</vt:lpwstr>
      </vt:variant>
      <vt:variant>
        <vt:lpwstr/>
      </vt:variant>
      <vt:variant>
        <vt:i4>3539061</vt:i4>
      </vt:variant>
      <vt:variant>
        <vt:i4>6</vt:i4>
      </vt:variant>
      <vt:variant>
        <vt:i4>0</vt:i4>
      </vt:variant>
      <vt:variant>
        <vt:i4>5</vt:i4>
      </vt:variant>
      <vt:variant>
        <vt:lpwstr>http://clinicaltrials.gov/</vt:lpwstr>
      </vt:variant>
      <vt:variant>
        <vt:lpwstr/>
      </vt:variant>
      <vt:variant>
        <vt:i4>2752611</vt:i4>
      </vt:variant>
      <vt:variant>
        <vt:i4>3</vt:i4>
      </vt:variant>
      <vt:variant>
        <vt:i4>0</vt:i4>
      </vt:variant>
      <vt:variant>
        <vt:i4>5</vt:i4>
      </vt:variant>
      <vt:variant>
        <vt:lpwstr>https://www.merck.com/news/merck-highlights-scientific-data-at-2021-asco-annual-meeting-across-more-than-20-cancer-types-from-broad-oncology-research-program/</vt:lpwstr>
      </vt:variant>
      <vt:variant>
        <vt:lpwstr/>
      </vt:variant>
      <vt:variant>
        <vt:i4>2883639</vt:i4>
      </vt:variant>
      <vt:variant>
        <vt:i4>0</vt:i4>
      </vt:variant>
      <vt:variant>
        <vt:i4>0</vt:i4>
      </vt:variant>
      <vt:variant>
        <vt:i4>5</vt:i4>
      </vt:variant>
      <vt:variant>
        <vt:lpwstr>https://www.merck.com/news/mercks-keytruda-pembrolizumab-demonstrated-superior-disease-free-survival-dfs-compared-with-placebo-as-adjuvant-therapy-in-patients-with-renal-cell-carcinoma-rcc-following-surgery/</vt:lpwstr>
      </vt:variant>
      <vt:variant>
        <vt:lpwstr/>
      </vt:variant>
      <vt:variant>
        <vt:i4>2752611</vt:i4>
      </vt:variant>
      <vt:variant>
        <vt:i4>6</vt:i4>
      </vt:variant>
      <vt:variant>
        <vt:i4>0</vt:i4>
      </vt:variant>
      <vt:variant>
        <vt:i4>5</vt:i4>
      </vt:variant>
      <vt:variant>
        <vt:lpwstr>https://www.merck.com/news/merck-highlights-scientific-data-at-2021-asco-annual-meeting-across-more-than-20-cancer-types-from-broad-oncology-research-program/</vt:lpwstr>
      </vt:variant>
      <vt:variant>
        <vt:lpwstr/>
      </vt:variant>
      <vt:variant>
        <vt:i4>2883639</vt:i4>
      </vt:variant>
      <vt:variant>
        <vt:i4>3</vt:i4>
      </vt:variant>
      <vt:variant>
        <vt:i4>0</vt:i4>
      </vt:variant>
      <vt:variant>
        <vt:i4>5</vt:i4>
      </vt:variant>
      <vt:variant>
        <vt:lpwstr>https://www.merck.com/news/mercks-keytruda-pembrolizumab-demonstrated-superior-disease-free-survival-dfs-compared-with-placebo-as-adjuvant-therapy-in-patients-with-renal-cell-carcinoma-rcc-following-surgery/</vt:lpwstr>
      </vt:variant>
      <vt:variant>
        <vt:lpwstr/>
      </vt:variant>
      <vt:variant>
        <vt:i4>7143472</vt:i4>
      </vt:variant>
      <vt:variant>
        <vt:i4>0</vt:i4>
      </vt:variant>
      <vt:variant>
        <vt:i4>0</vt:i4>
      </vt:variant>
      <vt:variant>
        <vt:i4>5</vt:i4>
      </vt:variant>
      <vt:variant>
        <vt:lpwstr>https://www.merck.com/news/keytruda-pembrolizumab-in-combination-with-inlyta-axitinib-reduced-risk-of-death-by-nearly-half-compared-to-sunitinib-as-first-line-treatment-for-advanced-renal-cell-carcinoma-rcc/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rollasot</dc:creator>
  <cp:lastModifiedBy>Paolo Cabra</cp:lastModifiedBy>
  <cp:revision>8</cp:revision>
  <cp:lastPrinted>2021-06-01T21:03:00Z</cp:lastPrinted>
  <dcterms:created xsi:type="dcterms:W3CDTF">2021-06-06T15:31:00Z</dcterms:created>
  <dcterms:modified xsi:type="dcterms:W3CDTF">2021-06-07T07:09:00Z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TaxHTField">
    <vt:lpwstr/>
  </property>
  <property fmtid="{D5CDD505-2E9C-101B-9397-08002B2CF9AE}" pid="3" name="TaxKeyword">
    <vt:lpwstr/>
  </property>
  <property fmtid="{D5CDD505-2E9C-101B-9397-08002B2CF9AE}" pid="4" name="TaxCatchAll">
    <vt:lpwstr/>
  </property>
  <property fmtid="{D5CDD505-2E9C-101B-9397-08002B2CF9AE}" pid="5" name="IconOverlay">
    <vt:lpwstr/>
  </property>
  <property fmtid="{D5CDD505-2E9C-101B-9397-08002B2CF9AE}" pid="6" name="$Resources:NewsGatorWSS,Fields_TagNotesName;">
    <vt:lpwstr/>
  </property>
  <property fmtid="{D5CDD505-2E9C-101B-9397-08002B2CF9AE}" pid="7" name="docIndexRef">
    <vt:lpwstr>6f7e0867-6a77-4561-9ffa-381c1a8104a0</vt:lpwstr>
  </property>
  <property fmtid="{D5CDD505-2E9C-101B-9397-08002B2CF9AE}" pid="8" name="bjSaver">
    <vt:lpwstr>DG/OgeZOVydv7XpWb8ZJrcUbQ2R9Kj4J</vt:lpwstr>
  </property>
  <property fmtid="{D5CDD505-2E9C-101B-9397-08002B2CF9AE}" pid="9" name="ContentTypeId">
    <vt:lpwstr>0x01010045AB14B07499894289F4B4B4252F2BD9</vt:lpwstr>
  </property>
  <property fmtid="{D5CDD505-2E9C-101B-9397-08002B2CF9AE}" pid="10" name="_NewReviewCycle">
    <vt:lpwstr/>
  </property>
  <property fmtid="{D5CDD505-2E9C-101B-9397-08002B2CF9AE}" pid="11" name="bjDocumentLabelXML">
    <vt:lpwstr>&lt;?xml version="1.0" encoding="us-ascii"?&gt;&lt;sisl xmlns:xsi="http://www.w3.org/2001/XMLSchema-instance" xmlns:xsd="http://www.w3.org/2001/XMLSchema" sislVersion="0" policy="a10f9ac0-5937-4b4f-b459-96aedd9ed2c5" origin="userSelected" xmlns="http://www.boldonj</vt:lpwstr>
  </property>
  <property fmtid="{D5CDD505-2E9C-101B-9397-08002B2CF9AE}" pid="12" name="bjDocumentLabelXML-0">
    <vt:lpwstr>ames.com/2008/01/sie/internal/label"&gt;&lt;element uid="03ac5bc8-a729-4fd2-9278-917130bed417" value="" /&gt;&lt;/sisl&gt;</vt:lpwstr>
  </property>
  <property fmtid="{D5CDD505-2E9C-101B-9397-08002B2CF9AE}" pid="13" name="bjDocumentSecurityLabel">
    <vt:lpwstr>Non Classificato-Not Classified</vt:lpwstr>
  </property>
  <property fmtid="{D5CDD505-2E9C-101B-9397-08002B2CF9AE}" pid="14" name="_AdHocReviewCycleID">
    <vt:i4>442189306</vt:i4>
  </property>
  <property fmtid="{D5CDD505-2E9C-101B-9397-08002B2CF9AE}" pid="15" name="_EmailSubject">
    <vt:lpwstr>bozza cs trad ita KEYNOTE-564 ASCO-AF 1.docx</vt:lpwstr>
  </property>
  <property fmtid="{D5CDD505-2E9C-101B-9397-08002B2CF9AE}" pid="16" name="_AuthorEmail">
    <vt:lpwstr>alessandra.felici@merck.com</vt:lpwstr>
  </property>
  <property fmtid="{D5CDD505-2E9C-101B-9397-08002B2CF9AE}" pid="17" name="_AuthorEmailDisplayName">
    <vt:lpwstr>Felici, Alessandra</vt:lpwstr>
  </property>
  <property fmtid="{D5CDD505-2E9C-101B-9397-08002B2CF9AE}" pid="18" name="_PreviousAdHocReviewCycleID">
    <vt:i4>-2039121625</vt:i4>
  </property>
  <property fmtid="{D5CDD505-2E9C-101B-9397-08002B2CF9AE}" pid="19" name="_ReviewingToolsShownOnce">
    <vt:lpwstr/>
  </property>
</Properties>
</file>