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4DD" w:rsidRPr="00F13817" w:rsidRDefault="005904DD" w:rsidP="00C1582D">
      <w:pPr>
        <w:autoSpaceDE w:val="0"/>
        <w:autoSpaceDN w:val="0"/>
        <w:adjustRightInd w:val="0"/>
        <w:spacing w:after="0" w:line="240" w:lineRule="auto"/>
        <w:jc w:val="center"/>
        <w:rPr>
          <w:rFonts w:ascii="Times New Roman" w:hAnsi="Times New Roman" w:cs="Times New Roman"/>
          <w:b/>
          <w:bCs/>
          <w:sz w:val="28"/>
          <w:szCs w:val="28"/>
        </w:rPr>
      </w:pPr>
    </w:p>
    <w:p w:rsidR="00F13817" w:rsidRPr="00F13817" w:rsidRDefault="00F13817" w:rsidP="00F13817">
      <w:pPr>
        <w:autoSpaceDE w:val="0"/>
        <w:autoSpaceDN w:val="0"/>
        <w:adjustRightInd w:val="0"/>
        <w:spacing w:after="0" w:line="240" w:lineRule="auto"/>
        <w:jc w:val="center"/>
        <w:rPr>
          <w:rFonts w:ascii="Times New Roman" w:hAnsi="Times New Roman" w:cs="Times New Roman"/>
          <w:b/>
          <w:bCs/>
          <w:sz w:val="28"/>
          <w:szCs w:val="28"/>
        </w:rPr>
      </w:pPr>
      <w:r w:rsidRPr="00F13817">
        <w:rPr>
          <w:rFonts w:ascii="Times New Roman" w:hAnsi="Times New Roman" w:cs="Times New Roman"/>
          <w:b/>
          <w:bCs/>
          <w:sz w:val="28"/>
          <w:szCs w:val="28"/>
        </w:rPr>
        <w:t>LE PRINCIPALI TERAPIE</w:t>
      </w:r>
    </w:p>
    <w:p w:rsidR="00F13817" w:rsidRPr="00F13817" w:rsidRDefault="00F13817" w:rsidP="00F13817">
      <w:pPr>
        <w:autoSpaceDE w:val="0"/>
        <w:autoSpaceDN w:val="0"/>
        <w:adjustRightInd w:val="0"/>
        <w:spacing w:after="0" w:line="240" w:lineRule="auto"/>
        <w:jc w:val="both"/>
        <w:rPr>
          <w:rFonts w:ascii="Times New Roman" w:hAnsi="Times New Roman" w:cs="Times New Roman"/>
          <w:b/>
          <w:bCs/>
          <w:sz w:val="24"/>
          <w:szCs w:val="24"/>
        </w:rPr>
      </w:pPr>
      <w:r w:rsidRPr="00F13817">
        <w:rPr>
          <w:rFonts w:ascii="Times New Roman" w:hAnsi="Times New Roman" w:cs="Times New Roman"/>
          <w:b/>
          <w:bCs/>
          <w:sz w:val="24"/>
          <w:szCs w:val="24"/>
        </w:rPr>
        <w:t>Il tumore della prostata</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xml:space="preserve">Nel trattamento del tumore della prostata esistono diverse opzioni terapeutiche che possono essere impiegate a seconda dello stadio evolutivo della malattia: chirurgia, radioterapia, brachiterapia, sorveglianza attiva, ormonoterapia, chemioterapia, immunoterapia, radioterapia metabolica. </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w:t>
      </w:r>
      <w:r>
        <w:rPr>
          <w:rFonts w:ascii="Times New Roman" w:hAnsi="Times New Roman" w:cs="Times New Roman"/>
          <w:bCs/>
          <w:sz w:val="24"/>
          <w:szCs w:val="24"/>
        </w:rPr>
        <w:t xml:space="preserve"> </w:t>
      </w:r>
      <w:r w:rsidRPr="00F13817">
        <w:rPr>
          <w:rFonts w:ascii="Times New Roman" w:hAnsi="Times New Roman" w:cs="Times New Roman"/>
          <w:bCs/>
          <w:sz w:val="24"/>
          <w:szCs w:val="24"/>
        </w:rPr>
        <w:t>Chirurgia: può essere effettuata con procedura open, laparoscopica o robot assistita. Può prevedere l’asportazione della sola prostata con tecnica nerve sparring oppure associare alla prostatectomia radicale (senza preservazione dei nervi) la linfectomia pelvica più o meno estesa</w:t>
      </w:r>
      <w:r>
        <w:rPr>
          <w:rFonts w:ascii="Times New Roman" w:hAnsi="Times New Roman" w:cs="Times New Roman"/>
          <w:bCs/>
          <w:sz w:val="24"/>
          <w:szCs w:val="24"/>
        </w:rPr>
        <w:t>.</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xml:space="preserve">• Radioterapia: utilizza radiazioni ionizzanti ad alta energia per distruggere le cellule tumorali, salvaguardando al contempo i tessuti e gli organi sani circostanti. Può avere diverse finalità: intento curativo (eliminando tutte le cellule tumorali, mira alla guarigione del paziente) intento adiuvante post-operatorio (si esegue pochi mesi dopo l’intervento chirurgico) intento post-operatorio di salvataggio (si svolge dopo l’intervento chirurgico solo in caso di risalita del PSA e/o in caso di recidiva) e intento palliativo (si esegue nei pazienti in cui la malattia si è diffusa ad altri organi, per esempio alle ossa). </w:t>
      </w:r>
      <w:r>
        <w:rPr>
          <w:rFonts w:ascii="Times New Roman" w:hAnsi="Times New Roman" w:cs="Times New Roman"/>
          <w:bCs/>
          <w:sz w:val="24"/>
          <w:szCs w:val="24"/>
        </w:rPr>
        <w:br/>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Brachiterapia: è una forma di radioterapia che prevede il posizionamento di piccole sorgenti radioattive (impropriamente dette ‘semi’) direttamente all’interno della prostata in anestesia epidurale o generale e sotto guida ecografica transrettale. E ‘ indicata per il trattamento dei tumori a basso rischio di progressione.</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Ormonoterapia: È utilizzata come terapia di elezione per controllare la malattia in stadio preferenzialmente.</w:t>
      </w:r>
      <w:r w:rsidR="001C62E8">
        <w:rPr>
          <w:rFonts w:ascii="Times New Roman" w:hAnsi="Times New Roman" w:cs="Times New Roman"/>
          <w:bCs/>
          <w:sz w:val="24"/>
          <w:szCs w:val="24"/>
        </w:rPr>
        <w:t xml:space="preserve"> </w:t>
      </w:r>
      <w:r w:rsidRPr="00F13817">
        <w:rPr>
          <w:rFonts w:ascii="Times New Roman" w:hAnsi="Times New Roman" w:cs="Times New Roman"/>
          <w:bCs/>
          <w:sz w:val="24"/>
          <w:szCs w:val="24"/>
        </w:rPr>
        <w:t xml:space="preserve"> </w:t>
      </w:r>
      <w:r>
        <w:rPr>
          <w:rFonts w:ascii="Times New Roman" w:hAnsi="Times New Roman" w:cs="Times New Roman"/>
          <w:bCs/>
          <w:sz w:val="24"/>
          <w:szCs w:val="24"/>
        </w:rPr>
        <w:t>P</w:t>
      </w:r>
      <w:r w:rsidRPr="00F13817">
        <w:rPr>
          <w:rFonts w:ascii="Times New Roman" w:hAnsi="Times New Roman" w:cs="Times New Roman"/>
          <w:bCs/>
          <w:sz w:val="24"/>
          <w:szCs w:val="24"/>
        </w:rPr>
        <w:t>uò essere usata in regime adiuvante dopo chirurgia in presenza di linfonodi positivi. Viene utilizzata insieme alla radioterapia nel trattamento delle forme localizzate a rischio intermedio o alto.</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Chemioterapia: il docetaxel rappresenta il farmaco di scelta come prima linea in fase di resistenza alla castrazione. Recentemente</w:t>
      </w:r>
      <w:r>
        <w:rPr>
          <w:rFonts w:ascii="Times New Roman" w:hAnsi="Times New Roman" w:cs="Times New Roman"/>
          <w:bCs/>
          <w:sz w:val="24"/>
          <w:szCs w:val="24"/>
        </w:rPr>
        <w:t xml:space="preserve"> </w:t>
      </w:r>
      <w:r w:rsidRPr="00F13817">
        <w:rPr>
          <w:rFonts w:ascii="Times New Roman" w:hAnsi="Times New Roman" w:cs="Times New Roman"/>
          <w:bCs/>
          <w:sz w:val="24"/>
          <w:szCs w:val="24"/>
        </w:rPr>
        <w:t>ha dimostrato di essere estremamente efficace anche in fase ormonosensibile in associazione con l’ormonoterapia in pazienti con diagnosi di</w:t>
      </w:r>
      <w:r>
        <w:rPr>
          <w:rFonts w:ascii="Times New Roman" w:hAnsi="Times New Roman" w:cs="Times New Roman"/>
          <w:bCs/>
          <w:sz w:val="24"/>
          <w:szCs w:val="24"/>
        </w:rPr>
        <w:t xml:space="preserve"> </w:t>
      </w:r>
      <w:r w:rsidRPr="00F13817">
        <w:rPr>
          <w:rFonts w:ascii="Times New Roman" w:hAnsi="Times New Roman" w:cs="Times New Roman"/>
          <w:bCs/>
          <w:sz w:val="24"/>
          <w:szCs w:val="24"/>
        </w:rPr>
        <w:t xml:space="preserve">malattia metastatica di alto volume. </w:t>
      </w:r>
      <w:r>
        <w:rPr>
          <w:rFonts w:ascii="Times New Roman" w:hAnsi="Times New Roman" w:cs="Times New Roman"/>
          <w:bCs/>
          <w:sz w:val="24"/>
          <w:szCs w:val="24"/>
        </w:rPr>
        <w:t xml:space="preserve">E’ </w:t>
      </w:r>
      <w:r w:rsidRPr="00F13817">
        <w:rPr>
          <w:rFonts w:ascii="Times New Roman" w:hAnsi="Times New Roman" w:cs="Times New Roman"/>
          <w:bCs/>
          <w:sz w:val="24"/>
          <w:szCs w:val="24"/>
        </w:rPr>
        <w:t>stato introdotto</w:t>
      </w:r>
      <w:r>
        <w:rPr>
          <w:rFonts w:ascii="Times New Roman" w:hAnsi="Times New Roman" w:cs="Times New Roman"/>
          <w:bCs/>
          <w:sz w:val="24"/>
          <w:szCs w:val="24"/>
        </w:rPr>
        <w:t xml:space="preserve"> </w:t>
      </w:r>
      <w:r w:rsidRPr="00F13817">
        <w:rPr>
          <w:rFonts w:ascii="Times New Roman" w:hAnsi="Times New Roman" w:cs="Times New Roman"/>
          <w:bCs/>
          <w:sz w:val="24"/>
          <w:szCs w:val="24"/>
        </w:rPr>
        <w:t>un altro farmaco appartenente alla famiglia dei taxani (cabazitaxel),</w:t>
      </w:r>
      <w:r>
        <w:rPr>
          <w:rFonts w:ascii="Times New Roman" w:hAnsi="Times New Roman" w:cs="Times New Roman"/>
          <w:bCs/>
          <w:sz w:val="24"/>
          <w:szCs w:val="24"/>
        </w:rPr>
        <w:t xml:space="preserve"> </w:t>
      </w:r>
      <w:r w:rsidRPr="00F13817">
        <w:rPr>
          <w:rFonts w:ascii="Times New Roman" w:hAnsi="Times New Roman" w:cs="Times New Roman"/>
          <w:bCs/>
          <w:sz w:val="24"/>
          <w:szCs w:val="24"/>
        </w:rPr>
        <w:t>che risulta utile in seconda linea terapeutica in caso di non risposta al docetaxel.</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xml:space="preserve">Oggi conosciamo molto dei meccanismi che stanno alla base della La di resistenza alla castrazione , sappiamo ad esempio che esiste una </w:t>
      </w:r>
      <w:proofErr w:type="spellStart"/>
      <w:r w:rsidRPr="00F13817">
        <w:rPr>
          <w:rFonts w:ascii="Times New Roman" w:hAnsi="Times New Roman" w:cs="Times New Roman"/>
          <w:bCs/>
          <w:sz w:val="24"/>
          <w:szCs w:val="24"/>
        </w:rPr>
        <w:t>sovraespressione</w:t>
      </w:r>
      <w:proofErr w:type="spellEnd"/>
      <w:r w:rsidR="001C62E8">
        <w:rPr>
          <w:rFonts w:ascii="Times New Roman" w:hAnsi="Times New Roman" w:cs="Times New Roman"/>
          <w:bCs/>
          <w:sz w:val="24"/>
          <w:szCs w:val="24"/>
        </w:rPr>
        <w:t xml:space="preserve"> </w:t>
      </w:r>
      <w:r w:rsidRPr="00F13817">
        <w:rPr>
          <w:rFonts w:ascii="Times New Roman" w:hAnsi="Times New Roman" w:cs="Times New Roman"/>
          <w:bCs/>
          <w:sz w:val="24"/>
          <w:szCs w:val="24"/>
        </w:rPr>
        <w:t>e una modificazione del recettore androgenico, sappiamo inoltre che seppure in assenza di testosterone circolante la cellula neoplastica lo produce direttamente partendo dal precursore , il colesterolo, per cui anche se la fase sembrerebbe caratterizzata dalla mancata funzione androgenica , in realtà esiste ancora una ormonodipendenza del tumore . Ecco che allora sono state introdotte in terapia nuove molecole di tipo ormonale un potente inibitore</w:t>
      </w:r>
      <w:r>
        <w:rPr>
          <w:rFonts w:ascii="Times New Roman" w:hAnsi="Times New Roman" w:cs="Times New Roman"/>
          <w:bCs/>
          <w:sz w:val="24"/>
          <w:szCs w:val="24"/>
        </w:rPr>
        <w:t xml:space="preserve"> </w:t>
      </w:r>
      <w:r w:rsidRPr="00F13817">
        <w:rPr>
          <w:rFonts w:ascii="Times New Roman" w:hAnsi="Times New Roman" w:cs="Times New Roman"/>
          <w:bCs/>
          <w:sz w:val="24"/>
          <w:szCs w:val="24"/>
        </w:rPr>
        <w:t>enzimatico (abiraterone) che blocca la produzione di testosterone da parte del tumore e un nuovo anti-androgeno di ultima generazione (enzalutamide) che blocca tutto il “sentiero” dei recettori per gli androgeni, non solo sulla superficie della cellula, ma fino al loro ingresso nel nucleo e nel DNA. Entrambi i farmaci sono disponibili in Italia e possono essere utilizzati sia prima che dopo docetaxel.</w:t>
      </w:r>
      <w:r>
        <w:rPr>
          <w:rFonts w:ascii="Times New Roman" w:hAnsi="Times New Roman" w:cs="Times New Roman"/>
          <w:bCs/>
          <w:sz w:val="24"/>
          <w:szCs w:val="24"/>
        </w:rPr>
        <w:t xml:space="preserve"> </w:t>
      </w:r>
      <w:r w:rsidRPr="00F13817">
        <w:rPr>
          <w:rFonts w:ascii="Times New Roman" w:hAnsi="Times New Roman" w:cs="Times New Roman"/>
          <w:bCs/>
          <w:sz w:val="24"/>
          <w:szCs w:val="24"/>
        </w:rPr>
        <w:t>L’abiraterone recentemente si è dimostrato molto utile, al pari del docetaxel, nei pazienti con diagnosi di malattia metastatica di alto volume in fase ormonosensibile in associazione alla terapia androgenodeprivativa standard.</w:t>
      </w:r>
      <w:r w:rsidR="00A82F08">
        <w:rPr>
          <w:rFonts w:ascii="Times New Roman" w:hAnsi="Times New Roman" w:cs="Times New Roman"/>
          <w:bCs/>
          <w:sz w:val="24"/>
          <w:szCs w:val="24"/>
        </w:rPr>
        <w:br/>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In merito all’ enzalutamide un recentissimo studio ha dimostrato un vantaggio significativo derivante dall’ uso di enzalutamide nella fase resistente alla castrazione in assenza di evidenza di metastasi. In questa fase fino ad oggi non avevamo farmaci registrati.</w:t>
      </w:r>
      <w:r>
        <w:rPr>
          <w:rFonts w:ascii="Times New Roman" w:hAnsi="Times New Roman" w:cs="Times New Roman"/>
          <w:bCs/>
          <w:sz w:val="24"/>
          <w:szCs w:val="24"/>
        </w:rPr>
        <w:br/>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Immunoterapia: si basa sulla stimolazione del sistema immunitario mediante vaccini anti-tumorali o anticorpi immunomodulanti. Le cellule "trasformate" sono identificate dalle difese immunitarie, ma questo riconoscimento, se lasciato a sé, non è in grado di controllare la crescita del tum</w:t>
      </w:r>
      <w:r>
        <w:rPr>
          <w:rFonts w:ascii="Times New Roman" w:hAnsi="Times New Roman" w:cs="Times New Roman"/>
          <w:bCs/>
          <w:sz w:val="24"/>
          <w:szCs w:val="24"/>
        </w:rPr>
        <w:t>ore. L'immunoterapia al momento</w:t>
      </w:r>
      <w:r w:rsidRPr="00F13817">
        <w:rPr>
          <w:rFonts w:ascii="Times New Roman" w:hAnsi="Times New Roman" w:cs="Times New Roman"/>
          <w:bCs/>
          <w:sz w:val="24"/>
          <w:szCs w:val="24"/>
        </w:rPr>
        <w:t xml:space="preserve"> non trova un reale</w:t>
      </w:r>
      <w:r w:rsidR="00A82F08">
        <w:rPr>
          <w:rFonts w:ascii="Times New Roman" w:hAnsi="Times New Roman" w:cs="Times New Roman"/>
          <w:bCs/>
          <w:sz w:val="24"/>
          <w:szCs w:val="24"/>
        </w:rPr>
        <w:t xml:space="preserve"> </w:t>
      </w:r>
      <w:r w:rsidRPr="00F13817">
        <w:rPr>
          <w:rFonts w:ascii="Times New Roman" w:hAnsi="Times New Roman" w:cs="Times New Roman"/>
          <w:bCs/>
          <w:sz w:val="24"/>
          <w:szCs w:val="24"/>
        </w:rPr>
        <w:t xml:space="preserve">ruolo nel trattamento della fare resistente alla castrazione. </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w:t>
      </w:r>
      <w:r>
        <w:rPr>
          <w:rFonts w:ascii="Times New Roman" w:hAnsi="Times New Roman" w:cs="Times New Roman"/>
          <w:bCs/>
          <w:sz w:val="24"/>
          <w:szCs w:val="24"/>
        </w:rPr>
        <w:t xml:space="preserve"> </w:t>
      </w:r>
      <w:r w:rsidRPr="00F13817">
        <w:rPr>
          <w:rFonts w:ascii="Times New Roman" w:hAnsi="Times New Roman" w:cs="Times New Roman"/>
          <w:bCs/>
          <w:sz w:val="24"/>
          <w:szCs w:val="24"/>
        </w:rPr>
        <w:t>Radioterapia Metabolica: utilizza farmaci con basse dosi di radiazioni (chiamati radio-farmaci) sia per la diagnosi che per la terapia. Il Radium -223 (Ra-</w:t>
      </w:r>
      <w:r w:rsidR="00A82F08">
        <w:rPr>
          <w:rFonts w:ascii="Times New Roman" w:hAnsi="Times New Roman" w:cs="Times New Roman"/>
          <w:bCs/>
          <w:sz w:val="24"/>
          <w:szCs w:val="24"/>
        </w:rPr>
        <w:t>223) è il primo radio-farmaco (</w:t>
      </w:r>
      <w:r w:rsidRPr="00F13817">
        <w:rPr>
          <w:rFonts w:ascii="Times New Roman" w:hAnsi="Times New Roman" w:cs="Times New Roman"/>
          <w:bCs/>
          <w:sz w:val="24"/>
          <w:szCs w:val="24"/>
        </w:rPr>
        <w:t xml:space="preserve">alfa emittente) ad azione specifica sul tessuto osseo che trova indicazione nei pazienti con metastasi ossee multiple sintomatiche </w:t>
      </w:r>
    </w:p>
    <w:p w:rsid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Sorveglianza attiva: può essere proposta ai pazienti con malattia indolente (gleason score 6, max 2 prelievi positivi, Psa inferiore a 10 no/ml), in buone condizioni di salute, con un’aspettativa di vita superiore a 10 anni e che sarebbero candidati a un trattamento attivo. Si effettuano controlli biochimici (test del PSA), clinici (esplorazione rettale) e strumentali (rebiopsie) a intervalli periodici, con l’obiettivo di evitare del tutto o di posporre i trattamenti e i relativi effetti collaterali. Se qualche parametro risulta cambiato rispetto ai controlli precedenti o se il paziente desidera interrompere la sorveglianza attiva, il medico può proporre un trattamento curativo.</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
          <w:bCs/>
          <w:sz w:val="24"/>
          <w:szCs w:val="24"/>
        </w:rPr>
      </w:pPr>
      <w:r w:rsidRPr="00F13817">
        <w:rPr>
          <w:rFonts w:ascii="Times New Roman" w:hAnsi="Times New Roman" w:cs="Times New Roman"/>
          <w:b/>
          <w:bCs/>
          <w:sz w:val="24"/>
          <w:szCs w:val="24"/>
        </w:rPr>
        <w:t>Il tumore della vescica</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Nei pazienti con tumori superficiali, la mortalità è bassa e la lesione può essere asportata completamente con una resezione trans-uretrale. La problematica dei tumori superficiali è legata alla possibilità di recidivare e di progredire (aumento di aggressività tumorale o infiltrazione della tunica muscolare o entrambi). Mentre la recidiva può essere trattata nella stessa maniera del tumore primario la progressione comporta delle decisioni terapeutiche importanti come la necessità di un intervento radicale (cistectomia totale). Allo scopo di ridurre la possibilità di recidiva e professione dopo la resezione endoscopica vengono eseguite installazioni con chemioterapiche o Bcg (</w:t>
      </w:r>
      <w:r w:rsidR="00A82F08">
        <w:rPr>
          <w:rFonts w:ascii="Times New Roman" w:hAnsi="Times New Roman" w:cs="Times New Roman"/>
          <w:bCs/>
          <w:sz w:val="24"/>
          <w:szCs w:val="24"/>
        </w:rPr>
        <w:t>vaccino antitubercolare)</w:t>
      </w:r>
      <w:r w:rsidRPr="00F13817">
        <w:rPr>
          <w:rFonts w:ascii="Times New Roman" w:hAnsi="Times New Roman" w:cs="Times New Roman"/>
          <w:bCs/>
          <w:sz w:val="24"/>
          <w:szCs w:val="24"/>
        </w:rPr>
        <w:t>. Quest’ultimo costituisce il farmaco di riferimento per i tumori non muscolo invasivi in classe di rischio elevato (alto grado, carcinoma in situ, associazione dei 2) I tumori invasivi (che si estendono al muscolo) mostrano invece una sopravvivenza che raggiunge appena</w:t>
      </w:r>
      <w:r w:rsidR="00A82F08">
        <w:rPr>
          <w:rFonts w:ascii="Times New Roman" w:hAnsi="Times New Roman" w:cs="Times New Roman"/>
          <w:bCs/>
          <w:sz w:val="24"/>
          <w:szCs w:val="24"/>
        </w:rPr>
        <w:t xml:space="preserve"> </w:t>
      </w:r>
      <w:r w:rsidRPr="00F13817">
        <w:rPr>
          <w:rFonts w:ascii="Times New Roman" w:hAnsi="Times New Roman" w:cs="Times New Roman"/>
          <w:bCs/>
          <w:sz w:val="24"/>
          <w:szCs w:val="24"/>
        </w:rPr>
        <w:t>il 50% a 5 anni. Nelle forme muscolo invasive ha un ruolo la</w:t>
      </w:r>
      <w:r w:rsidR="00A82F08">
        <w:rPr>
          <w:rFonts w:ascii="Times New Roman" w:hAnsi="Times New Roman" w:cs="Times New Roman"/>
          <w:bCs/>
          <w:sz w:val="24"/>
          <w:szCs w:val="24"/>
        </w:rPr>
        <w:t xml:space="preserve"> </w:t>
      </w:r>
      <w:r w:rsidRPr="00F13817">
        <w:rPr>
          <w:rFonts w:ascii="Times New Roman" w:hAnsi="Times New Roman" w:cs="Times New Roman"/>
          <w:bCs/>
          <w:sz w:val="24"/>
          <w:szCs w:val="24"/>
        </w:rPr>
        <w:t>chemioterapia neo adiuvante (cioè somministrata prima della chirurgia)</w:t>
      </w:r>
      <w:r w:rsidR="00A82F08">
        <w:rPr>
          <w:rFonts w:ascii="Times New Roman" w:hAnsi="Times New Roman" w:cs="Times New Roman"/>
          <w:bCs/>
          <w:sz w:val="24"/>
          <w:szCs w:val="24"/>
        </w:rPr>
        <w:t xml:space="preserve"> </w:t>
      </w:r>
      <w:r w:rsidRPr="00F13817">
        <w:rPr>
          <w:rFonts w:ascii="Times New Roman" w:hAnsi="Times New Roman" w:cs="Times New Roman"/>
          <w:bCs/>
          <w:sz w:val="24"/>
          <w:szCs w:val="24"/>
        </w:rPr>
        <w:t>ment</w:t>
      </w:r>
      <w:r w:rsidR="00A82F08">
        <w:rPr>
          <w:rFonts w:ascii="Times New Roman" w:hAnsi="Times New Roman" w:cs="Times New Roman"/>
          <w:bCs/>
          <w:sz w:val="24"/>
          <w:szCs w:val="24"/>
        </w:rPr>
        <w:t>re la chemioterapia adiuvante (</w:t>
      </w:r>
      <w:r w:rsidRPr="00F13817">
        <w:rPr>
          <w:rFonts w:ascii="Times New Roman" w:hAnsi="Times New Roman" w:cs="Times New Roman"/>
          <w:bCs/>
          <w:sz w:val="24"/>
          <w:szCs w:val="24"/>
        </w:rPr>
        <w:t>somministrata dopo la chirurgia) attualmente non ha ancora un ruolo definito. In così selezionati in alternativa alla cistectomia radicale può essere proposta una terapia trimodale basata fondamentalmente sulla radioterapia associata a</w:t>
      </w:r>
      <w:r w:rsidR="00A82F08">
        <w:rPr>
          <w:rFonts w:ascii="Times New Roman" w:hAnsi="Times New Roman" w:cs="Times New Roman"/>
          <w:bCs/>
          <w:sz w:val="24"/>
          <w:szCs w:val="24"/>
        </w:rPr>
        <w:t xml:space="preserve"> </w:t>
      </w:r>
      <w:r w:rsidRPr="00F13817">
        <w:rPr>
          <w:rFonts w:ascii="Times New Roman" w:hAnsi="Times New Roman" w:cs="Times New Roman"/>
          <w:bCs/>
          <w:sz w:val="24"/>
          <w:szCs w:val="24"/>
        </w:rPr>
        <w:t>chemioterapia sensibilizzante.</w:t>
      </w:r>
      <w:r>
        <w:rPr>
          <w:rFonts w:ascii="Times New Roman" w:hAnsi="Times New Roman" w:cs="Times New Roman"/>
          <w:bCs/>
          <w:sz w:val="24"/>
          <w:szCs w:val="24"/>
        </w:rPr>
        <w:br/>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Chirurgia: gli interventi sono resezione trans-uretrale (consiste nell’introduzione di un strumento endoscopico</w:t>
      </w:r>
      <w:r w:rsidR="001C62E8">
        <w:rPr>
          <w:rFonts w:ascii="Times New Roman" w:hAnsi="Times New Roman" w:cs="Times New Roman"/>
          <w:bCs/>
          <w:sz w:val="24"/>
          <w:szCs w:val="24"/>
        </w:rPr>
        <w:t xml:space="preserve"> </w:t>
      </w:r>
      <w:bookmarkStart w:id="0" w:name="_GoBack"/>
      <w:bookmarkEnd w:id="0"/>
      <w:r w:rsidRPr="00F13817">
        <w:rPr>
          <w:rFonts w:ascii="Times New Roman" w:hAnsi="Times New Roman" w:cs="Times New Roman"/>
          <w:bCs/>
          <w:sz w:val="24"/>
          <w:szCs w:val="24"/>
        </w:rPr>
        <w:t>sottile, dotato anche di illuminazione, nella vescica attraverso l’uretra che permette di asportare il tessuto neoplastico mediante il passaggio di corrente su una ansa metallica); cistectomia parziale (prevede l’asportazione della parte d’organo interessata dal tumore); cistectomia radicale (consiste nella rimozione della vescica, dei tessuti e dei linfonodi adiacenti.</w:t>
      </w:r>
      <w:r w:rsidR="001C62E8">
        <w:rPr>
          <w:rFonts w:ascii="Times New Roman" w:hAnsi="Times New Roman" w:cs="Times New Roman"/>
          <w:bCs/>
          <w:sz w:val="24"/>
          <w:szCs w:val="24"/>
        </w:rPr>
        <w:t xml:space="preserve"> </w:t>
      </w:r>
      <w:r w:rsidRPr="00F13817">
        <w:rPr>
          <w:rFonts w:ascii="Times New Roman" w:hAnsi="Times New Roman" w:cs="Times New Roman"/>
          <w:bCs/>
          <w:sz w:val="24"/>
          <w:szCs w:val="24"/>
        </w:rPr>
        <w:t>L’ esecuzione della cistectomia totale implica la necessità di derivare le urine con procedure incontinenti o continenti utilizzanti segmenti intestinali per realizzare dei condotti o dei neoserbatoi urinari</w:t>
      </w:r>
      <w:r w:rsidR="00A82F08">
        <w:rPr>
          <w:rFonts w:ascii="Times New Roman" w:hAnsi="Times New Roman" w:cs="Times New Roman"/>
          <w:bCs/>
          <w:sz w:val="24"/>
          <w:szCs w:val="24"/>
        </w:rPr>
        <w:br/>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xml:space="preserve">• Radioterapia: utilizza radiazioni ionizzati, in associazione o meno alla chemioterapia, per distruggere le cellule tumorali e ridurre le dimensioni del tumore. </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Chemioterapia: oggi viene utilizzata la mitomicina o la dixorubicina per instillazione endovescicale. Il Bcg non è un chemioterapico ma un vaccino che trova impiego nei tumori a rischio intermedio e alto.</w:t>
      </w:r>
      <w:r w:rsidR="00A82F08">
        <w:rPr>
          <w:rFonts w:ascii="Times New Roman" w:hAnsi="Times New Roman" w:cs="Times New Roman"/>
          <w:bCs/>
          <w:sz w:val="24"/>
          <w:szCs w:val="24"/>
        </w:rPr>
        <w:t xml:space="preserve"> I</w:t>
      </w:r>
      <w:r w:rsidRPr="00F13817">
        <w:rPr>
          <w:rFonts w:ascii="Times New Roman" w:hAnsi="Times New Roman" w:cs="Times New Roman"/>
          <w:bCs/>
          <w:sz w:val="24"/>
          <w:szCs w:val="24"/>
        </w:rPr>
        <w:t xml:space="preserve"> principali agenti chemioterapici usati in caso di malattia loco-regionale e metastatica sono rappresentati dal cisplatino, carboplatino, gemcitabina, metho-trexate, doxorubicina, vinblastina, paclitaxel e vinflunin.</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Immunoterapia: attraverso l’utilizzo degli anticorpi monoclonali che hanno come bersaglio il PD-1 o PD-L1 (due proteine in grado di influenzare la risposta immunitaria) può cambiare la storia del trattamento dei pazienti con malattia avanzata. Studi in corso.</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
          <w:bCs/>
          <w:sz w:val="24"/>
          <w:szCs w:val="24"/>
        </w:rPr>
      </w:pPr>
      <w:r w:rsidRPr="00F13817">
        <w:rPr>
          <w:rFonts w:ascii="Times New Roman" w:hAnsi="Times New Roman" w:cs="Times New Roman"/>
          <w:b/>
          <w:bCs/>
          <w:sz w:val="24"/>
          <w:szCs w:val="24"/>
        </w:rPr>
        <w:t xml:space="preserve">Il tumore del testicolo </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Il tumore primario</w:t>
      </w:r>
      <w:r w:rsidR="00A82F08">
        <w:rPr>
          <w:rFonts w:ascii="Times New Roman" w:hAnsi="Times New Roman" w:cs="Times New Roman"/>
          <w:bCs/>
          <w:sz w:val="24"/>
          <w:szCs w:val="24"/>
        </w:rPr>
        <w:t xml:space="preserve"> </w:t>
      </w:r>
      <w:r w:rsidRPr="00F13817">
        <w:rPr>
          <w:rFonts w:ascii="Times New Roman" w:hAnsi="Times New Roman" w:cs="Times New Roman"/>
          <w:bCs/>
          <w:sz w:val="24"/>
          <w:szCs w:val="24"/>
        </w:rPr>
        <w:t>richiede</w:t>
      </w:r>
      <w:r w:rsidR="00A82F08">
        <w:rPr>
          <w:rFonts w:ascii="Times New Roman" w:hAnsi="Times New Roman" w:cs="Times New Roman"/>
          <w:bCs/>
          <w:sz w:val="24"/>
          <w:szCs w:val="24"/>
        </w:rPr>
        <w:t xml:space="preserve"> </w:t>
      </w:r>
      <w:r w:rsidRPr="00F13817">
        <w:rPr>
          <w:rFonts w:ascii="Times New Roman" w:hAnsi="Times New Roman" w:cs="Times New Roman"/>
          <w:bCs/>
          <w:sz w:val="24"/>
          <w:szCs w:val="24"/>
        </w:rPr>
        <w:t>il trattamento chirurgico. I tumori germinali del testicolo sono</w:t>
      </w:r>
      <w:r w:rsidR="00A82F08">
        <w:rPr>
          <w:rFonts w:ascii="Times New Roman" w:hAnsi="Times New Roman" w:cs="Times New Roman"/>
          <w:bCs/>
          <w:sz w:val="24"/>
          <w:szCs w:val="24"/>
        </w:rPr>
        <w:t xml:space="preserve"> </w:t>
      </w:r>
      <w:r w:rsidRPr="00F13817">
        <w:rPr>
          <w:rFonts w:ascii="Times New Roman" w:hAnsi="Times New Roman" w:cs="Times New Roman"/>
          <w:bCs/>
          <w:sz w:val="24"/>
          <w:szCs w:val="24"/>
        </w:rPr>
        <w:t xml:space="preserve">molto sensibili alla chemioterapia, soprattutto in combinazione. La percentuale di guarigione dei tumori del testicolo globalmente è pari al 91. % </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w:t>
      </w:r>
      <w:r>
        <w:rPr>
          <w:rFonts w:ascii="Times New Roman" w:hAnsi="Times New Roman" w:cs="Times New Roman"/>
          <w:bCs/>
          <w:sz w:val="24"/>
          <w:szCs w:val="24"/>
        </w:rPr>
        <w:t xml:space="preserve"> </w:t>
      </w:r>
      <w:r w:rsidRPr="00F13817">
        <w:rPr>
          <w:rFonts w:ascii="Times New Roman" w:hAnsi="Times New Roman" w:cs="Times New Roman"/>
          <w:bCs/>
          <w:sz w:val="24"/>
          <w:szCs w:val="24"/>
        </w:rPr>
        <w:t xml:space="preserve">Chirurgia: di solito si procede all’asportazione del testicolo con legatura del funicolo spermatico attraverso un’incisione a livello inguinale (orchifunicolectomia). Al posto del </w:t>
      </w:r>
      <w:r w:rsidR="00812682">
        <w:rPr>
          <w:rFonts w:ascii="Times New Roman" w:hAnsi="Times New Roman" w:cs="Times New Roman"/>
          <w:bCs/>
          <w:sz w:val="24"/>
          <w:szCs w:val="24"/>
        </w:rPr>
        <w:t xml:space="preserve">testicolo asportato, può essere </w:t>
      </w:r>
      <w:r w:rsidRPr="00F13817">
        <w:rPr>
          <w:rFonts w:ascii="Times New Roman" w:hAnsi="Times New Roman" w:cs="Times New Roman"/>
          <w:bCs/>
          <w:sz w:val="24"/>
          <w:szCs w:val="24"/>
        </w:rPr>
        <w:t>posizionata una protesi. In circostanze particolari, pazienti monarchidi</w:t>
      </w:r>
      <w:r w:rsidR="00812682">
        <w:rPr>
          <w:rFonts w:ascii="Times New Roman" w:hAnsi="Times New Roman" w:cs="Times New Roman"/>
          <w:bCs/>
          <w:sz w:val="24"/>
          <w:szCs w:val="24"/>
        </w:rPr>
        <w:t xml:space="preserve"> </w:t>
      </w:r>
      <w:r w:rsidRPr="00F13817">
        <w:rPr>
          <w:rFonts w:ascii="Times New Roman" w:hAnsi="Times New Roman" w:cs="Times New Roman"/>
          <w:bCs/>
          <w:sz w:val="24"/>
          <w:szCs w:val="24"/>
        </w:rPr>
        <w:t>con lesioni di piccole dimensioni, può essere effettuata come alternativa all’orchiectomia una chirurgia conservativa con asportazione della sola lesione. In pazienti con malattia metastatica linfonodale retroperitoneale</w:t>
      </w:r>
      <w:r w:rsidR="00812682">
        <w:rPr>
          <w:rFonts w:ascii="Times New Roman" w:hAnsi="Times New Roman" w:cs="Times New Roman"/>
          <w:bCs/>
          <w:sz w:val="24"/>
          <w:szCs w:val="24"/>
        </w:rPr>
        <w:t xml:space="preserve"> </w:t>
      </w:r>
      <w:r w:rsidRPr="00F13817">
        <w:rPr>
          <w:rFonts w:ascii="Times New Roman" w:hAnsi="Times New Roman" w:cs="Times New Roman"/>
          <w:bCs/>
          <w:sz w:val="24"/>
          <w:szCs w:val="24"/>
        </w:rPr>
        <w:t xml:space="preserve">tra le opzioni terapeutiche può essere proposta una linfectomia retroperitoneale. Una possibile complicanza delle linfectomia estese è la perdita della eiaculazione per danno al sistema ortosimpatico. Per ovviare a questo possono essere usate tecniche con template limitato, in questi casi l’eiaculazione e’ conservata in più dell ‘80% dei casi </w:t>
      </w:r>
      <w:r>
        <w:rPr>
          <w:rFonts w:ascii="Times New Roman" w:hAnsi="Times New Roman" w:cs="Times New Roman"/>
          <w:bCs/>
          <w:sz w:val="24"/>
          <w:szCs w:val="24"/>
        </w:rPr>
        <w:br/>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Radioterapia: è indicata come trattamento dei seminomi in stadio 1 e 2. Il trattamento è eseguito attraverso l’utilizzazione di alte energie radianti con fasci esterni: le radiazioni sono erogate da una macchina posta all’esterno dell’organismo e orientate alla zona interessata dal tumore.</w:t>
      </w:r>
      <w:r>
        <w:rPr>
          <w:rFonts w:ascii="Times New Roman" w:hAnsi="Times New Roman" w:cs="Times New Roman"/>
          <w:bCs/>
          <w:sz w:val="24"/>
          <w:szCs w:val="24"/>
        </w:rPr>
        <w:br/>
      </w:r>
    </w:p>
    <w:p w:rsid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w:t>
      </w:r>
      <w:r>
        <w:rPr>
          <w:rFonts w:ascii="Times New Roman" w:hAnsi="Times New Roman" w:cs="Times New Roman"/>
          <w:bCs/>
          <w:sz w:val="24"/>
          <w:szCs w:val="24"/>
        </w:rPr>
        <w:t xml:space="preserve"> </w:t>
      </w:r>
      <w:r w:rsidRPr="00F13817">
        <w:rPr>
          <w:rFonts w:ascii="Times New Roman" w:hAnsi="Times New Roman" w:cs="Times New Roman"/>
          <w:bCs/>
          <w:sz w:val="24"/>
          <w:szCs w:val="24"/>
        </w:rPr>
        <w:t>Chemioterapia: lo schema più frequentemente utilizzato è il PEB (associazione di Cisplatino, Etoposide e Bleomicina), attivo sia nei seminomi in stadio 2 e oltre ch</w:t>
      </w:r>
      <w:r w:rsidR="00705E02">
        <w:rPr>
          <w:rFonts w:ascii="Times New Roman" w:hAnsi="Times New Roman" w:cs="Times New Roman"/>
          <w:bCs/>
          <w:sz w:val="24"/>
          <w:szCs w:val="24"/>
        </w:rPr>
        <w:t xml:space="preserve">e </w:t>
      </w:r>
      <w:r w:rsidRPr="00F13817">
        <w:rPr>
          <w:rFonts w:ascii="Times New Roman" w:hAnsi="Times New Roman" w:cs="Times New Roman"/>
          <w:bCs/>
          <w:sz w:val="24"/>
          <w:szCs w:val="24"/>
        </w:rPr>
        <w:t>nei non seminomi in</w:t>
      </w:r>
      <w:r w:rsidR="00705E02">
        <w:rPr>
          <w:rFonts w:ascii="Times New Roman" w:hAnsi="Times New Roman" w:cs="Times New Roman"/>
          <w:bCs/>
          <w:sz w:val="24"/>
          <w:szCs w:val="24"/>
        </w:rPr>
        <w:t xml:space="preserve"> </w:t>
      </w:r>
      <w:r w:rsidRPr="00F13817">
        <w:rPr>
          <w:rFonts w:ascii="Times New Roman" w:hAnsi="Times New Roman" w:cs="Times New Roman"/>
          <w:bCs/>
          <w:sz w:val="24"/>
          <w:szCs w:val="24"/>
        </w:rPr>
        <w:t>stadio 1 e oltre. Il Carboplatino</w:t>
      </w:r>
      <w:r w:rsidR="00C8545E">
        <w:rPr>
          <w:rFonts w:ascii="Times New Roman" w:hAnsi="Times New Roman" w:cs="Times New Roman"/>
          <w:bCs/>
          <w:sz w:val="24"/>
          <w:szCs w:val="24"/>
        </w:rPr>
        <w:t xml:space="preserve"> </w:t>
      </w:r>
      <w:r w:rsidRPr="00F13817">
        <w:rPr>
          <w:rFonts w:ascii="Times New Roman" w:hAnsi="Times New Roman" w:cs="Times New Roman"/>
          <w:bCs/>
          <w:sz w:val="24"/>
          <w:szCs w:val="24"/>
        </w:rPr>
        <w:t xml:space="preserve">in monoterapia nel seminoma in stadio 1 in alternativa alla radioterapia. </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
          <w:bCs/>
          <w:sz w:val="24"/>
          <w:szCs w:val="24"/>
        </w:rPr>
      </w:pPr>
      <w:r w:rsidRPr="00F13817">
        <w:rPr>
          <w:rFonts w:ascii="Times New Roman" w:hAnsi="Times New Roman" w:cs="Times New Roman"/>
          <w:b/>
          <w:bCs/>
          <w:sz w:val="24"/>
          <w:szCs w:val="24"/>
        </w:rPr>
        <w:t xml:space="preserve">Il </w:t>
      </w:r>
      <w:r w:rsidRPr="00F13817">
        <w:rPr>
          <w:rFonts w:ascii="Times New Roman" w:hAnsi="Times New Roman" w:cs="Times New Roman"/>
          <w:b/>
          <w:bCs/>
          <w:sz w:val="24"/>
          <w:szCs w:val="24"/>
        </w:rPr>
        <w:t>tumore del rene</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La terapia del cancro al rene è preminentemente</w:t>
      </w:r>
      <w:r w:rsidR="00C8545E">
        <w:rPr>
          <w:rFonts w:ascii="Times New Roman" w:hAnsi="Times New Roman" w:cs="Times New Roman"/>
          <w:bCs/>
          <w:sz w:val="24"/>
          <w:szCs w:val="24"/>
        </w:rPr>
        <w:t xml:space="preserve"> </w:t>
      </w:r>
      <w:r w:rsidRPr="00F13817">
        <w:rPr>
          <w:rFonts w:ascii="Times New Roman" w:hAnsi="Times New Roman" w:cs="Times New Roman"/>
          <w:bCs/>
          <w:sz w:val="24"/>
          <w:szCs w:val="24"/>
        </w:rPr>
        <w:t>di tipo chirurgico.</w:t>
      </w:r>
      <w:r w:rsidR="001C62E8">
        <w:rPr>
          <w:rFonts w:ascii="Times New Roman" w:hAnsi="Times New Roman" w:cs="Times New Roman"/>
          <w:bCs/>
          <w:sz w:val="24"/>
          <w:szCs w:val="24"/>
        </w:rPr>
        <w:t xml:space="preserve"> </w:t>
      </w:r>
      <w:r w:rsidRPr="00F13817">
        <w:rPr>
          <w:rFonts w:ascii="Times New Roman" w:hAnsi="Times New Roman" w:cs="Times New Roman"/>
          <w:bCs/>
          <w:sz w:val="24"/>
          <w:szCs w:val="24"/>
        </w:rPr>
        <w:t>Anche in presenza di malattia metastatica la chirurgia ha un ruolo nel trattamento del tumore primario (nefrectomia citoriduttiva</w:t>
      </w:r>
      <w:r w:rsidR="00C8545E">
        <w:rPr>
          <w:rFonts w:ascii="Times New Roman" w:hAnsi="Times New Roman" w:cs="Times New Roman"/>
          <w:bCs/>
          <w:sz w:val="24"/>
          <w:szCs w:val="24"/>
        </w:rPr>
        <w:t xml:space="preserve">) </w:t>
      </w:r>
      <w:r w:rsidRPr="00F13817">
        <w:rPr>
          <w:rFonts w:ascii="Times New Roman" w:hAnsi="Times New Roman" w:cs="Times New Roman"/>
          <w:bCs/>
          <w:sz w:val="24"/>
          <w:szCs w:val="24"/>
        </w:rPr>
        <w:t>e delle metastasi (metastasectomia). In questo stadio fondamentale è la combinazione con la terapia sistemica.</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p>
    <w:p w:rsidR="00C8545E"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Chirurgia: consiste nella rimozione di tutto (nefrectomia)o di una parte del rene (nefrectomia parziale). La nefrectomia radicale comporta l’asportazione anche del</w:t>
      </w:r>
      <w:r w:rsidR="00C8545E">
        <w:rPr>
          <w:rFonts w:ascii="Times New Roman" w:hAnsi="Times New Roman" w:cs="Times New Roman"/>
          <w:bCs/>
          <w:sz w:val="24"/>
          <w:szCs w:val="24"/>
        </w:rPr>
        <w:t xml:space="preserve"> </w:t>
      </w:r>
      <w:r w:rsidRPr="00F13817">
        <w:rPr>
          <w:rFonts w:ascii="Times New Roman" w:hAnsi="Times New Roman" w:cs="Times New Roman"/>
          <w:bCs/>
          <w:sz w:val="24"/>
          <w:szCs w:val="24"/>
        </w:rPr>
        <w:t>surrene quando gli esami(TC) dimostrano un coinvolgimento. La linfectomia è</w:t>
      </w:r>
      <w:r w:rsidR="00C8545E">
        <w:rPr>
          <w:rFonts w:ascii="Times New Roman" w:hAnsi="Times New Roman" w:cs="Times New Roman"/>
          <w:bCs/>
          <w:sz w:val="24"/>
          <w:szCs w:val="24"/>
        </w:rPr>
        <w:t xml:space="preserve"> </w:t>
      </w:r>
      <w:r w:rsidRPr="00F13817">
        <w:rPr>
          <w:rFonts w:ascii="Times New Roman" w:hAnsi="Times New Roman" w:cs="Times New Roman"/>
          <w:bCs/>
          <w:sz w:val="24"/>
          <w:szCs w:val="24"/>
        </w:rPr>
        <w:t>dibattuta dovrebbe essere eseguita nelle neoplasie in stadio locale avanzato o quando gli esami strumentali</w:t>
      </w:r>
      <w:r w:rsidR="00C8545E">
        <w:rPr>
          <w:rFonts w:ascii="Times New Roman" w:hAnsi="Times New Roman" w:cs="Times New Roman"/>
          <w:bCs/>
          <w:sz w:val="24"/>
          <w:szCs w:val="24"/>
        </w:rPr>
        <w:t xml:space="preserve"> </w:t>
      </w:r>
      <w:r w:rsidRPr="00F13817">
        <w:rPr>
          <w:rFonts w:ascii="Times New Roman" w:hAnsi="Times New Roman" w:cs="Times New Roman"/>
          <w:bCs/>
          <w:sz w:val="24"/>
          <w:szCs w:val="24"/>
        </w:rPr>
        <w:t xml:space="preserve">documentano alterazioni dimensionali dei linfonodi .le tecniche di chirurgia conservativa sono molteplici: dalla nefrectomia parziale alla enucleoresezione e alla enucleazione . Oggi la stragrande maggioranza degli interventi per tumori localizzati viene eseguita con tecnica laparoscopica o robot assistita. </w:t>
      </w:r>
    </w:p>
    <w:p w:rsidR="00C8545E" w:rsidRDefault="00C8545E" w:rsidP="00F13817">
      <w:pPr>
        <w:autoSpaceDE w:val="0"/>
        <w:autoSpaceDN w:val="0"/>
        <w:adjustRightInd w:val="0"/>
        <w:spacing w:after="0" w:line="240" w:lineRule="auto"/>
        <w:jc w:val="both"/>
        <w:rPr>
          <w:rFonts w:ascii="Times New Roman" w:hAnsi="Times New Roman" w:cs="Times New Roman"/>
          <w:bCs/>
          <w:sz w:val="24"/>
          <w:szCs w:val="24"/>
        </w:rPr>
      </w:pP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Radioterapia: non trova particolari indicazioni nel trattamento delle metastasi da tumore renale, se non in alcune particolari situazioni, come nel caso di progressione cerebrale, in cui una parte di pazienti può trarne benefici. Anche le persone con metastasi ossee dolorose possono giovare della radioterapia, con una significativa riduzione del dolore.</w:t>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Chemioterapia: non è indicata nei pazienti con carcinoma del rene. Tuttavia, in alcuni malati che non possono più trarre beneficio dalla terapia molecolare o dall’immunoterapia la possibilità di una regressione parziale delle metastasi attraverso la chemioterapia può raggiungere il 20%.</w:t>
      </w:r>
      <w:r>
        <w:rPr>
          <w:rFonts w:ascii="Times New Roman" w:hAnsi="Times New Roman" w:cs="Times New Roman"/>
          <w:bCs/>
          <w:sz w:val="24"/>
          <w:szCs w:val="24"/>
        </w:rPr>
        <w:br/>
      </w:r>
    </w:p>
    <w:p w:rsidR="00F13817" w:rsidRPr="00F13817" w:rsidRDefault="00F13817" w:rsidP="00F13817">
      <w:pPr>
        <w:autoSpaceDE w:val="0"/>
        <w:autoSpaceDN w:val="0"/>
        <w:adjustRightInd w:val="0"/>
        <w:spacing w:after="0" w:line="240" w:lineRule="auto"/>
        <w:jc w:val="both"/>
        <w:rPr>
          <w:rFonts w:ascii="Times New Roman" w:hAnsi="Times New Roman" w:cs="Times New Roman"/>
          <w:bCs/>
          <w:sz w:val="24"/>
          <w:szCs w:val="24"/>
        </w:rPr>
      </w:pPr>
      <w:r w:rsidRPr="00F13817">
        <w:rPr>
          <w:rFonts w:ascii="Times New Roman" w:hAnsi="Times New Roman" w:cs="Times New Roman"/>
          <w:bCs/>
          <w:sz w:val="24"/>
          <w:szCs w:val="24"/>
        </w:rPr>
        <w:t>• Immunoterapia: utilizza molecole in grado di “sbloccare” il sistema immunitario e renderlo in grado di riconoscere ed aggredire il tumore in quanto tale. Numerosi farmaci in via di sviluppo per questa patologia (nivolumab, atezolizumab, pembrolizumab, ipilimumab, etc.) vengono globalmente raggruppati nella classe dei cosiddetti “Inibitori di Checkpoint” e hanno recentemente dimostrato di aumentare la sopravvivenza globale dei pazienti affetti da questa neoplasia e di essere, mediamente, ben tollerati.</w:t>
      </w:r>
      <w:r>
        <w:rPr>
          <w:rFonts w:ascii="Times New Roman" w:hAnsi="Times New Roman" w:cs="Times New Roman"/>
          <w:bCs/>
          <w:sz w:val="24"/>
          <w:szCs w:val="24"/>
        </w:rPr>
        <w:br/>
      </w:r>
    </w:p>
    <w:p w:rsidR="00C2446C" w:rsidRPr="00F13817" w:rsidRDefault="00F13817" w:rsidP="00F13817">
      <w:pPr>
        <w:autoSpaceDE w:val="0"/>
        <w:autoSpaceDN w:val="0"/>
        <w:adjustRightInd w:val="0"/>
        <w:spacing w:after="0" w:line="240" w:lineRule="auto"/>
        <w:jc w:val="both"/>
        <w:rPr>
          <w:rStyle w:val="Enfasigrassetto"/>
          <w:rFonts w:ascii="Times New Roman" w:hAnsi="Times New Roman"/>
          <w:b w:val="0"/>
          <w:sz w:val="24"/>
          <w:szCs w:val="24"/>
          <w:bdr w:val="none" w:sz="0" w:space="0" w:color="auto" w:frame="1"/>
          <w:shd w:val="clear" w:color="auto" w:fill="FFFFFF"/>
        </w:rPr>
      </w:pPr>
      <w:r w:rsidRPr="00F13817">
        <w:rPr>
          <w:rFonts w:ascii="Times New Roman" w:hAnsi="Times New Roman" w:cs="Times New Roman"/>
          <w:bCs/>
          <w:sz w:val="24"/>
          <w:szCs w:val="24"/>
        </w:rPr>
        <w:t>• Nuove cure: la nuova generazione di farmaci si raggruppano nella categoria delle cosiddette targeted therapy (terapie mirate). Svolgono un’azione “anti-angiogenica” e hanno la capacità di interferire con lo sviluppo del tumore, inibendo la formazione di nuovi vasi sanguigni, che per crescere ha bisogno di ossigen</w:t>
      </w:r>
      <w:r w:rsidRPr="00F13817">
        <w:rPr>
          <w:rFonts w:ascii="Times New Roman" w:hAnsi="Times New Roman" w:cs="Times New Roman"/>
          <w:bCs/>
          <w:sz w:val="28"/>
          <w:szCs w:val="28"/>
        </w:rPr>
        <w:t>o.</w:t>
      </w:r>
    </w:p>
    <w:sectPr w:rsidR="00C2446C" w:rsidRPr="00F13817" w:rsidSect="00972438">
      <w:headerReference w:type="default" r:id="rId8"/>
      <w:headerReference w:type="first" r:id="rId9"/>
      <w:pgSz w:w="11906" w:h="16838"/>
      <w:pgMar w:top="1417" w:right="1134" w:bottom="1134" w:left="1134" w:header="426"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4022" w:rsidRDefault="00444022" w:rsidP="00C1582D">
      <w:pPr>
        <w:spacing w:after="0" w:line="240" w:lineRule="auto"/>
      </w:pPr>
      <w:r>
        <w:separator/>
      </w:r>
    </w:p>
  </w:endnote>
  <w:endnote w:type="continuationSeparator" w:id="0">
    <w:p w:rsidR="00444022" w:rsidRDefault="00444022" w:rsidP="00C15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4022" w:rsidRDefault="00444022" w:rsidP="00C1582D">
      <w:pPr>
        <w:spacing w:after="0" w:line="240" w:lineRule="auto"/>
      </w:pPr>
      <w:r>
        <w:separator/>
      </w:r>
    </w:p>
  </w:footnote>
  <w:footnote w:type="continuationSeparator" w:id="0">
    <w:p w:rsidR="00444022" w:rsidRDefault="00444022" w:rsidP="00C158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8BA" w:rsidRDefault="00AC18BA" w:rsidP="00972438">
    <w:pPr>
      <w:pStyle w:val="Intestazione"/>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8BA" w:rsidRPr="00634E69" w:rsidRDefault="00634E69" w:rsidP="00634E69">
    <w:pPr>
      <w:pStyle w:val="Intestazione"/>
      <w:jc w:val="center"/>
    </w:pPr>
    <w:r>
      <w:rPr>
        <w:noProof/>
        <w:lang w:eastAsia="it-IT"/>
      </w:rPr>
      <w:drawing>
        <wp:inline distT="0" distB="0" distL="0" distR="0">
          <wp:extent cx="4182059" cy="100026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congresso 2018.png"/>
                  <pic:cNvPicPr/>
                </pic:nvPicPr>
                <pic:blipFill>
                  <a:blip r:embed="rId1">
                    <a:extLst>
                      <a:ext uri="{28A0092B-C50C-407E-A947-70E740481C1C}">
                        <a14:useLocalDpi xmlns:a14="http://schemas.microsoft.com/office/drawing/2010/main" val="0"/>
                      </a:ext>
                    </a:extLst>
                  </a:blip>
                  <a:stretch>
                    <a:fillRect/>
                  </a:stretch>
                </pic:blipFill>
                <pic:spPr>
                  <a:xfrm>
                    <a:off x="0" y="0"/>
                    <a:ext cx="4182059" cy="10002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84E69"/>
    <w:multiLevelType w:val="hybridMultilevel"/>
    <w:tmpl w:val="B3C624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99248FF"/>
    <w:multiLevelType w:val="hybridMultilevel"/>
    <w:tmpl w:val="5664B8B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7AF5CC8"/>
    <w:multiLevelType w:val="hybridMultilevel"/>
    <w:tmpl w:val="C414DAE8"/>
    <w:lvl w:ilvl="0" w:tplc="67C0A17C">
      <w:start w:val="1"/>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8663CD6"/>
    <w:multiLevelType w:val="hybridMultilevel"/>
    <w:tmpl w:val="26FE3E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F2363F5"/>
    <w:multiLevelType w:val="hybridMultilevel"/>
    <w:tmpl w:val="26061B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0CF7CE6"/>
    <w:multiLevelType w:val="hybridMultilevel"/>
    <w:tmpl w:val="B58441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49D7435"/>
    <w:multiLevelType w:val="hybridMultilevel"/>
    <w:tmpl w:val="774C06E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AAA75E6"/>
    <w:multiLevelType w:val="hybridMultilevel"/>
    <w:tmpl w:val="AA00653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663C69F0"/>
    <w:multiLevelType w:val="multilevel"/>
    <w:tmpl w:val="1FE4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7"/>
  </w:num>
  <w:num w:numId="3">
    <w:abstractNumId w:val="2"/>
  </w:num>
  <w:num w:numId="4">
    <w:abstractNumId w:val="8"/>
  </w:num>
  <w:num w:numId="5">
    <w:abstractNumId w:val="1"/>
  </w:num>
  <w:num w:numId="6">
    <w:abstractNumId w:val="4"/>
  </w:num>
  <w:num w:numId="7">
    <w:abstractNumId w:val="3"/>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283"/>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C1582D"/>
    <w:rsid w:val="000250C1"/>
    <w:rsid w:val="00066338"/>
    <w:rsid w:val="000C7587"/>
    <w:rsid w:val="000F7BFB"/>
    <w:rsid w:val="00110D64"/>
    <w:rsid w:val="00170FFB"/>
    <w:rsid w:val="00192225"/>
    <w:rsid w:val="001C62E8"/>
    <w:rsid w:val="00204C8A"/>
    <w:rsid w:val="00221579"/>
    <w:rsid w:val="00236D8E"/>
    <w:rsid w:val="00246F76"/>
    <w:rsid w:val="00253028"/>
    <w:rsid w:val="002833DD"/>
    <w:rsid w:val="002C29B1"/>
    <w:rsid w:val="002D2699"/>
    <w:rsid w:val="002D6BB6"/>
    <w:rsid w:val="002E4920"/>
    <w:rsid w:val="0033044B"/>
    <w:rsid w:val="00344011"/>
    <w:rsid w:val="003800C1"/>
    <w:rsid w:val="003A6D87"/>
    <w:rsid w:val="003D0468"/>
    <w:rsid w:val="003F0370"/>
    <w:rsid w:val="004318D1"/>
    <w:rsid w:val="00444022"/>
    <w:rsid w:val="004632D0"/>
    <w:rsid w:val="00485BAB"/>
    <w:rsid w:val="004A2EAC"/>
    <w:rsid w:val="004B221A"/>
    <w:rsid w:val="004D5877"/>
    <w:rsid w:val="004F5902"/>
    <w:rsid w:val="00513A3F"/>
    <w:rsid w:val="00523A71"/>
    <w:rsid w:val="00536431"/>
    <w:rsid w:val="00547A05"/>
    <w:rsid w:val="00564332"/>
    <w:rsid w:val="005904DD"/>
    <w:rsid w:val="005A5BCC"/>
    <w:rsid w:val="005C3DAC"/>
    <w:rsid w:val="005D4D03"/>
    <w:rsid w:val="005E660F"/>
    <w:rsid w:val="005E6B31"/>
    <w:rsid w:val="00617812"/>
    <w:rsid w:val="00634E69"/>
    <w:rsid w:val="00664CD9"/>
    <w:rsid w:val="006A4803"/>
    <w:rsid w:val="006D1070"/>
    <w:rsid w:val="006F512A"/>
    <w:rsid w:val="0070598C"/>
    <w:rsid w:val="00705E02"/>
    <w:rsid w:val="00725AF1"/>
    <w:rsid w:val="0073750C"/>
    <w:rsid w:val="007559AB"/>
    <w:rsid w:val="007846A1"/>
    <w:rsid w:val="007A67C3"/>
    <w:rsid w:val="007D0F45"/>
    <w:rsid w:val="007E6270"/>
    <w:rsid w:val="0080448C"/>
    <w:rsid w:val="00812682"/>
    <w:rsid w:val="008248D3"/>
    <w:rsid w:val="00832DA1"/>
    <w:rsid w:val="00842117"/>
    <w:rsid w:val="008E7F4D"/>
    <w:rsid w:val="00926107"/>
    <w:rsid w:val="00954717"/>
    <w:rsid w:val="00971DA8"/>
    <w:rsid w:val="00972438"/>
    <w:rsid w:val="009816D4"/>
    <w:rsid w:val="00992FF8"/>
    <w:rsid w:val="009B2D7F"/>
    <w:rsid w:val="009D2349"/>
    <w:rsid w:val="00A7071E"/>
    <w:rsid w:val="00A80274"/>
    <w:rsid w:val="00A82F08"/>
    <w:rsid w:val="00A87599"/>
    <w:rsid w:val="00A926B9"/>
    <w:rsid w:val="00A93052"/>
    <w:rsid w:val="00A96272"/>
    <w:rsid w:val="00AC008F"/>
    <w:rsid w:val="00AC047A"/>
    <w:rsid w:val="00AC18BA"/>
    <w:rsid w:val="00AD0FFF"/>
    <w:rsid w:val="00AD2899"/>
    <w:rsid w:val="00AE72E0"/>
    <w:rsid w:val="00B41AF7"/>
    <w:rsid w:val="00B4418A"/>
    <w:rsid w:val="00B53592"/>
    <w:rsid w:val="00B94F4E"/>
    <w:rsid w:val="00BF1CE3"/>
    <w:rsid w:val="00C01B47"/>
    <w:rsid w:val="00C04B3E"/>
    <w:rsid w:val="00C1582D"/>
    <w:rsid w:val="00C2446C"/>
    <w:rsid w:val="00C27E72"/>
    <w:rsid w:val="00C554E5"/>
    <w:rsid w:val="00C647E7"/>
    <w:rsid w:val="00C82E6B"/>
    <w:rsid w:val="00C8545E"/>
    <w:rsid w:val="00D05E24"/>
    <w:rsid w:val="00D2523C"/>
    <w:rsid w:val="00D65384"/>
    <w:rsid w:val="00D74AAC"/>
    <w:rsid w:val="00D96684"/>
    <w:rsid w:val="00DB639E"/>
    <w:rsid w:val="00DF6CC8"/>
    <w:rsid w:val="00E17B84"/>
    <w:rsid w:val="00E3135C"/>
    <w:rsid w:val="00E4519E"/>
    <w:rsid w:val="00E862FF"/>
    <w:rsid w:val="00EC5D8F"/>
    <w:rsid w:val="00EE6FDE"/>
    <w:rsid w:val="00F070E7"/>
    <w:rsid w:val="00F13817"/>
    <w:rsid w:val="00F20BDD"/>
    <w:rsid w:val="00F8686D"/>
    <w:rsid w:val="00F93327"/>
    <w:rsid w:val="00FA39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0E4B3EB-A7BC-456E-B8C4-7FA5CCD67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1582D"/>
  </w:style>
  <w:style w:type="paragraph" w:styleId="Titolo1">
    <w:name w:val="heading 1"/>
    <w:basedOn w:val="Normale"/>
    <w:next w:val="Normale"/>
    <w:link w:val="Titolo1Carattere"/>
    <w:uiPriority w:val="9"/>
    <w:qFormat/>
    <w:rsid w:val="00C158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1582D"/>
    <w:rPr>
      <w:rFonts w:asciiTheme="majorHAnsi" w:eastAsiaTheme="majorEastAsia" w:hAnsiTheme="majorHAnsi" w:cstheme="majorBidi"/>
      <w:b/>
      <w:bCs/>
      <w:color w:val="365F91" w:themeColor="accent1" w:themeShade="BF"/>
      <w:sz w:val="28"/>
      <w:szCs w:val="28"/>
    </w:rPr>
  </w:style>
  <w:style w:type="character" w:styleId="Enfasigrassetto">
    <w:name w:val="Strong"/>
    <w:basedOn w:val="Carpredefinitoparagrafo"/>
    <w:uiPriority w:val="22"/>
    <w:qFormat/>
    <w:rsid w:val="00C1582D"/>
    <w:rPr>
      <w:b/>
      <w:bCs/>
    </w:rPr>
  </w:style>
  <w:style w:type="character" w:customStyle="1" w:styleId="apple-converted-space">
    <w:name w:val="apple-converted-space"/>
    <w:basedOn w:val="Carpredefinitoparagrafo"/>
    <w:rsid w:val="00C1582D"/>
  </w:style>
  <w:style w:type="paragraph" w:styleId="NormaleWeb">
    <w:name w:val="Normal (Web)"/>
    <w:basedOn w:val="Normale"/>
    <w:uiPriority w:val="99"/>
    <w:unhideWhenUsed/>
    <w:rsid w:val="00C1582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C1582D"/>
    <w:rPr>
      <w:rFonts w:ascii="Calibri" w:eastAsia="Calibri" w:hAnsi="Calibri" w:cs="Times New Roman"/>
      <w:sz w:val="20"/>
      <w:szCs w:val="20"/>
    </w:rPr>
  </w:style>
  <w:style w:type="character" w:customStyle="1" w:styleId="TestonotaapidipaginaCarattere">
    <w:name w:val="Testo nota a piè di pagina Carattere"/>
    <w:basedOn w:val="Carpredefinitoparagrafo"/>
    <w:link w:val="Testonotaapidipagina"/>
    <w:uiPriority w:val="99"/>
    <w:semiHidden/>
    <w:rsid w:val="00C1582D"/>
    <w:rPr>
      <w:rFonts w:ascii="Calibri" w:eastAsia="Calibri" w:hAnsi="Calibri" w:cs="Times New Roman"/>
      <w:sz w:val="20"/>
      <w:szCs w:val="20"/>
    </w:rPr>
  </w:style>
  <w:style w:type="character" w:styleId="Rimandonotaapidipagina">
    <w:name w:val="footnote reference"/>
    <w:uiPriority w:val="99"/>
    <w:semiHidden/>
    <w:unhideWhenUsed/>
    <w:rsid w:val="00C1582D"/>
    <w:rPr>
      <w:vertAlign w:val="superscript"/>
    </w:rPr>
  </w:style>
  <w:style w:type="character" w:customStyle="1" w:styleId="Enfasicorsivo1">
    <w:name w:val="Enfasi (corsivo)1"/>
    <w:basedOn w:val="Carpredefinitoparagrafo"/>
    <w:rsid w:val="00C1582D"/>
    <w:rPr>
      <w:i/>
    </w:rPr>
  </w:style>
  <w:style w:type="character" w:customStyle="1" w:styleId="Enfasigrassetto1">
    <w:name w:val="Enfasi (grassetto)1"/>
    <w:basedOn w:val="Carpredefinitoparagrafo"/>
    <w:rsid w:val="00C1582D"/>
    <w:rPr>
      <w:b/>
    </w:rPr>
  </w:style>
  <w:style w:type="paragraph" w:styleId="Paragrafoelenco">
    <w:name w:val="List Paragraph"/>
    <w:basedOn w:val="Normale"/>
    <w:uiPriority w:val="34"/>
    <w:qFormat/>
    <w:rsid w:val="00C1582D"/>
    <w:pPr>
      <w:ind w:left="720"/>
      <w:contextualSpacing/>
    </w:pPr>
    <w:rPr>
      <w:rFonts w:ascii="Calibri" w:eastAsia="Calibri" w:hAnsi="Calibri" w:cs="Times New Roman"/>
    </w:rPr>
  </w:style>
  <w:style w:type="paragraph" w:styleId="Intestazione">
    <w:name w:val="header"/>
    <w:basedOn w:val="Normale"/>
    <w:link w:val="IntestazioneCarattere"/>
    <w:uiPriority w:val="99"/>
    <w:unhideWhenUsed/>
    <w:rsid w:val="007E627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6270"/>
  </w:style>
  <w:style w:type="paragraph" w:styleId="Pidipagina">
    <w:name w:val="footer"/>
    <w:basedOn w:val="Normale"/>
    <w:link w:val="PidipaginaCarattere"/>
    <w:uiPriority w:val="99"/>
    <w:unhideWhenUsed/>
    <w:rsid w:val="007E627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6270"/>
  </w:style>
  <w:style w:type="paragraph" w:styleId="Testofumetto">
    <w:name w:val="Balloon Text"/>
    <w:basedOn w:val="Normale"/>
    <w:link w:val="TestofumettoCarattere"/>
    <w:uiPriority w:val="99"/>
    <w:semiHidden/>
    <w:unhideWhenUsed/>
    <w:rsid w:val="0097243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72438"/>
    <w:rPr>
      <w:rFonts w:ascii="Tahoma" w:hAnsi="Tahoma" w:cs="Tahoma"/>
      <w:sz w:val="16"/>
      <w:szCs w:val="16"/>
    </w:rPr>
  </w:style>
  <w:style w:type="character" w:styleId="Rimandocommento">
    <w:name w:val="annotation reference"/>
    <w:basedOn w:val="Carpredefinitoparagrafo"/>
    <w:uiPriority w:val="99"/>
    <w:semiHidden/>
    <w:unhideWhenUsed/>
    <w:rsid w:val="00AE72E0"/>
    <w:rPr>
      <w:sz w:val="16"/>
      <w:szCs w:val="16"/>
    </w:rPr>
  </w:style>
  <w:style w:type="paragraph" w:styleId="Testocommento">
    <w:name w:val="annotation text"/>
    <w:basedOn w:val="Normale"/>
    <w:link w:val="TestocommentoCarattere"/>
    <w:uiPriority w:val="99"/>
    <w:semiHidden/>
    <w:unhideWhenUsed/>
    <w:rsid w:val="00AE72E0"/>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AE72E0"/>
    <w:rPr>
      <w:sz w:val="20"/>
      <w:szCs w:val="20"/>
    </w:rPr>
  </w:style>
  <w:style w:type="paragraph" w:styleId="Soggettocommento">
    <w:name w:val="annotation subject"/>
    <w:basedOn w:val="Testocommento"/>
    <w:next w:val="Testocommento"/>
    <w:link w:val="SoggettocommentoCarattere"/>
    <w:uiPriority w:val="99"/>
    <w:semiHidden/>
    <w:unhideWhenUsed/>
    <w:rsid w:val="00AE72E0"/>
    <w:rPr>
      <w:b/>
      <w:bCs/>
    </w:rPr>
  </w:style>
  <w:style w:type="character" w:customStyle="1" w:styleId="SoggettocommentoCarattere">
    <w:name w:val="Soggetto commento Carattere"/>
    <w:basedOn w:val="TestocommentoCarattere"/>
    <w:link w:val="Soggettocommento"/>
    <w:uiPriority w:val="99"/>
    <w:semiHidden/>
    <w:rsid w:val="00AE72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5EF5B5-629E-40B9-A717-799053ECE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213</TotalTime>
  <Pages>4</Pages>
  <Words>1861</Words>
  <Characters>10610</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dc:creator>
  <cp:keywords/>
  <dc:description/>
  <cp:lastModifiedBy>fabrizio</cp:lastModifiedBy>
  <cp:revision>95</cp:revision>
  <dcterms:created xsi:type="dcterms:W3CDTF">2015-05-28T13:21:00Z</dcterms:created>
  <dcterms:modified xsi:type="dcterms:W3CDTF">2018-04-04T09:41:00Z</dcterms:modified>
</cp:coreProperties>
</file>