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438" w:rsidRPr="00C33B46" w:rsidRDefault="00972438" w:rsidP="00C33B46">
      <w:pPr>
        <w:autoSpaceDE w:val="0"/>
        <w:autoSpaceDN w:val="0"/>
        <w:adjustRightInd w:val="0"/>
        <w:spacing w:after="0" w:line="240" w:lineRule="auto"/>
        <w:jc w:val="center"/>
        <w:rPr>
          <w:rFonts w:ascii="Times New Roman" w:hAnsi="Times New Roman" w:cs="Times New Roman"/>
          <w:b/>
          <w:bCs/>
          <w:sz w:val="28"/>
          <w:szCs w:val="28"/>
        </w:rPr>
      </w:pPr>
    </w:p>
    <w:p w:rsidR="00C33B46" w:rsidRPr="00C33B46" w:rsidRDefault="00C33B46" w:rsidP="00C33B46">
      <w:pPr>
        <w:spacing w:line="240" w:lineRule="auto"/>
        <w:jc w:val="center"/>
        <w:rPr>
          <w:rStyle w:val="Enfasigrassetto"/>
          <w:rFonts w:ascii="Times New Roman" w:hAnsi="Times New Roman"/>
          <w:sz w:val="28"/>
          <w:szCs w:val="28"/>
          <w:bdr w:val="none" w:sz="0" w:space="0" w:color="auto" w:frame="1"/>
          <w:shd w:val="clear" w:color="auto" w:fill="FFFFFF"/>
        </w:rPr>
      </w:pPr>
      <w:r w:rsidRPr="00C33B46">
        <w:rPr>
          <w:rStyle w:val="Enfasigrassetto"/>
          <w:rFonts w:ascii="Times New Roman" w:hAnsi="Times New Roman"/>
          <w:sz w:val="28"/>
          <w:szCs w:val="28"/>
          <w:bdr w:val="none" w:sz="0" w:space="0" w:color="auto" w:frame="1"/>
          <w:shd w:val="clear" w:color="auto" w:fill="FFFFFF"/>
        </w:rPr>
        <w:t>TUMORE DELLA VESCICA</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Deriva dalla trasformazione maligna di alcune cellule che rivestono la superficie interna dell’organo. La forma più frequente (95%) è il carcinoma a cellule di transizione. Altri tipi di tumore della vescica sono l’adenocarcinoma e il carcinoma squamoso primitivo (che si sviluppa anche in seguito a infiammazioni croniche o infezioni ripetute nei fumatori), ma sono notevolmente meno diffusi. Si manifesta più spesso sulle pareti laterali dell’organo, e ha un aspetto papillare (cioè come piccole escrescenze) nel 75% dei casi, oppure una forma piatta o nodulare. La distinzione tra il carcinoma maligno e il papilloma, che è invece un tumore meno aggressivo, si basa sul numero di strati cellulari coinvolti.</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Incidenza</w:t>
      </w:r>
      <w:r>
        <w:rPr>
          <w:rStyle w:val="Enfasigrassetto"/>
          <w:rFonts w:ascii="Times New Roman" w:hAnsi="Times New Roman"/>
          <w:b w:val="0"/>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Questa patologia colpisce maggiormente gli uomini. Si sviluppa in persone con età compresa tra i 55 e i 70 anni, e l’incidenza aumenta con l’età. Raramente, invece, si manifesta prima dei 40 anni. In Italia nel 2017 sono stati registrati 27.000 nuovi casi (21.700 uomini e 5.300 donne).</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Mortalità</w:t>
      </w:r>
      <w:r>
        <w:rPr>
          <w:rStyle w:val="Enfasigrassetto"/>
          <w:rFonts w:ascii="Times New Roman" w:hAnsi="Times New Roman"/>
          <w:b w:val="0"/>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 xml:space="preserve">Nel 2014 i decessi ammontavano a 5.610 (4.369 gli uomini e 1.241 le donne). A fronte delle nuove diagnosi, si registra anche una sensibile riduzione del tasso di mortalità, che rappresenta il 4% del totale dei decessi oncologici.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Sopravvivenza</w:t>
      </w:r>
      <w:r>
        <w:rPr>
          <w:rStyle w:val="Enfasigrassetto"/>
          <w:rFonts w:ascii="Times New Roman" w:hAnsi="Times New Roman"/>
          <w:b w:val="0"/>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 xml:space="preserve">La sopravvivenza a cinque anni è del 79,4% degli uomini e delle donne che hanno ricevuto diagnosi di un tumore della vescica.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Prevalenza</w:t>
      </w:r>
      <w:r>
        <w:rPr>
          <w:rStyle w:val="Enfasigrassetto"/>
          <w:rFonts w:ascii="Times New Roman" w:hAnsi="Times New Roman"/>
          <w:b w:val="0"/>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In Italia risiedono 296.000 persone con pregressa diagnosi di questa neoplasia. Il 60% dei casi ha affrontato la diagnosi oltre 5 anni fa</w:t>
      </w:r>
      <w:r>
        <w:rPr>
          <w:rStyle w:val="Enfasigrassetto"/>
          <w:rFonts w:ascii="Times New Roman" w:hAnsi="Times New Roman"/>
          <w:b w:val="0"/>
          <w:sz w:val="24"/>
          <w:szCs w:val="24"/>
          <w:bdr w:val="none" w:sz="0" w:space="0" w:color="auto" w:frame="1"/>
          <w:shd w:val="clear" w:color="auto" w:fill="FFFFFF"/>
        </w:rPr>
        <w:t>.</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Sintomi</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 xml:space="preserve">Non esistono segni o sintomi specifici per i tumori vescicali che permettano una diagnosi precoce.  Il principale segnale del tumore è la presenza di sangue nelle urine, sia visibile a occhio nudo sia solo al microscopio (microematuria), senza dolore. Altri sintomi iniziali possono essere la necessità di urinare più frequentemente, l’urgenza, il dolore o la difficoltà all’atto di urinare (minzione).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Diagnosi</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Il persistere o ripetersi di ematuria (sangue nelle urine), soprattutto in soggetti a rischio (fumatori, esposizioni professionali) costituisce in genere un vero e proprio campanello di allarme. Per formulare la diagnosi completa sono però necessarie l’anamnesi (un’indagine sull’ambiente di lavoro e sulle abitudini del paziente), l’esame clinico, l’esame citologico (ricerca di cellule tumorali) nelle urine e altri esami più sofisticati per rilevare marcatori tumorali (come la gonadotropina corionica umana o hCG).</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 xml:space="preserve">La cistoscopia è la tecnica più frequente. Eseguita in anestesia locale, consiste nell’introduzione di uno strumento ottico per osservare la superficie interna della vescica ed eseguire biopsie. Attraverso la camicia del cistoscopio si può, inoltre, inserire un ‘resettore’ (endoscopico) per asportare il tumore dall’interno. Questa manovra è, infatti, diagnostica nei tumori infiltranti, ma anche terapeutica in quelli superficiali. In caso di negatività, si rivelano utili anche un’urografia (con mezzo di contrasto per visualizzare radiologicamente le vie urinarie), un’ecografia dell’apparato urinario (di prima scelta, in presenza di ematuria), la TAC dell’addome e della pelvi (uro-TAC) che </w:t>
      </w:r>
      <w:r w:rsidRPr="00C33B46">
        <w:rPr>
          <w:rStyle w:val="Enfasigrassetto"/>
          <w:rFonts w:ascii="Times New Roman" w:hAnsi="Times New Roman"/>
          <w:b w:val="0"/>
          <w:sz w:val="24"/>
          <w:szCs w:val="24"/>
          <w:bdr w:val="none" w:sz="0" w:space="0" w:color="auto" w:frame="1"/>
          <w:shd w:val="clear" w:color="auto" w:fill="FFFFFF"/>
        </w:rPr>
        <w:lastRenderedPageBreak/>
        <w:t>permette di esaminare la presenza di una massa, lo stato dei linfonodi e gli organi circostanti e la risonanza magnetica (RMN) alla pelvi renale, con cui si può determinare la stadiazione del tumore.</w:t>
      </w:r>
    </w:p>
    <w:p w:rsidR="00C33B46" w:rsidRPr="00C33B46" w:rsidRDefault="00C33B46" w:rsidP="00C33B46">
      <w:pPr>
        <w:spacing w:line="240" w:lineRule="auto"/>
        <w:jc w:val="both"/>
        <w:rPr>
          <w:rStyle w:val="Enfasigrassetto"/>
          <w:rFonts w:ascii="Times New Roman" w:hAnsi="Times New Roman"/>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Fattori di rischio e prevenzione</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Sono stati identificati vari fattori di rischio e altri sono ancora considerati potenziali:</w:t>
      </w:r>
    </w:p>
    <w:p w:rsidR="00C33B46" w:rsidRPr="00C33B46" w:rsidRDefault="00C33B46" w:rsidP="00C33B46">
      <w:pPr>
        <w:pStyle w:val="Paragrafoelenco"/>
        <w:numPr>
          <w:ilvl w:val="0"/>
          <w:numId w:val="6"/>
        </w:num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 xml:space="preserve">Il fumo di sigaretta è responsabile di almeno il 50% dei tumori delle vie urinarie. Al tabacco sono attribuiti i due terzi del rischio complessivo negli uomini. Il rischio si riduce solo smettendo di fumare, e dopo 15 anni si avvicina a quello dei non fumatori. </w:t>
      </w:r>
    </w:p>
    <w:p w:rsidR="00C33B46" w:rsidRPr="00C33B46" w:rsidRDefault="00C33B46" w:rsidP="00C33B46">
      <w:pPr>
        <w:pStyle w:val="Paragrafoelenco"/>
        <w:numPr>
          <w:ilvl w:val="0"/>
          <w:numId w:val="6"/>
        </w:num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Il 25% circa di questi tumori è attribuibile anche all’esposizioni ambientali (soprattutto professionali) a sostanze cancerogene. È noto infatti il ruolo dei coloranti derivati dall’anilina, così come l’esposizione cronica a sostanze cancerogene presenti nell’ambiente o ad amine aromatiche (benzidina, 2-naftilammina, elementi contenuti anche nel fumo) e ai derivati dell’arsenico.</w:t>
      </w:r>
    </w:p>
    <w:p w:rsidR="00C33B46" w:rsidRPr="00C33B46" w:rsidRDefault="00C33B46" w:rsidP="00C33B46">
      <w:pPr>
        <w:pStyle w:val="Paragrafoelenco"/>
        <w:numPr>
          <w:ilvl w:val="0"/>
          <w:numId w:val="6"/>
        </w:num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 xml:space="preserve">L’assunzione cronica di alcuni farmaci può favorire l’insorgenza di questo tumore. Conosciuto è il rischio conseguente all’assunzione di fenacetina, analgesico derivato dall’anilina, oggi sostituito dal paracetamolo, suo metabolita attivo e privo di tossicità renale. </w:t>
      </w:r>
    </w:p>
    <w:p w:rsidR="00C33B46" w:rsidRPr="00C33B46" w:rsidRDefault="00C33B46" w:rsidP="00C33B46">
      <w:pPr>
        <w:pStyle w:val="Paragrafoelenco"/>
        <w:numPr>
          <w:ilvl w:val="0"/>
          <w:numId w:val="6"/>
        </w:num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Normalmente il tumore delle vie urinarie non è considerato tra le neoplasie a trasmissione familiare, ma è stato documentato l’aumento del rischio di carcinomi uroteliali, specie a carico del tratto superiore (pelvi renale e uretere), in famiglie con carcinoma del colon-retto non poliposico ereditario (sindrome di Lynch).</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 xml:space="preserve">Per prevenire il cancro, è consigliabile migliorare lo stile di vita: in particolare, seguire una dieta sana ed equilibrata; svolgere una regolare attività fisica e soprattutto abolire il fumo. Invece, misure preventive sul luogo di lavoro sono indicate per le categorie occupazionali a rischio (industria tessile, dei coloranti, della gomma e del cuoio), considerando anche che il tumore della vescica si sviluppa anche a distanza di 10-25 anni dall’esposizione.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 xml:space="preserve">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center"/>
        <w:rPr>
          <w:rStyle w:val="Enfasigrassetto"/>
          <w:rFonts w:ascii="Times New Roman" w:hAnsi="Times New Roman"/>
          <w:sz w:val="28"/>
          <w:szCs w:val="28"/>
          <w:bdr w:val="none" w:sz="0" w:space="0" w:color="auto" w:frame="1"/>
          <w:shd w:val="clear" w:color="auto" w:fill="FFFFFF"/>
        </w:rPr>
      </w:pPr>
      <w:r w:rsidRPr="00C33B46">
        <w:rPr>
          <w:rStyle w:val="Enfasigrassetto"/>
          <w:rFonts w:ascii="Times New Roman" w:hAnsi="Times New Roman"/>
          <w:sz w:val="28"/>
          <w:szCs w:val="28"/>
          <w:bdr w:val="none" w:sz="0" w:space="0" w:color="auto" w:frame="1"/>
          <w:shd w:val="clear" w:color="auto" w:fill="FFFFFF"/>
        </w:rPr>
        <w:t>IL TUMORE DEL RENE</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Le cellule renali possono talvolta proliferare in maniera anomala e incontrollata e dare origine al tumore del rene. Il tipo più comune nell'adulto è l'adenocarcinoma a cellule chiare, che trae origine dalle cellule che ricoprono il tratto prossimale dei tubuli renali, a loro volta parte dei nefroni.</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Incidenza</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Rappresenta il 4% di tutte le neoplasie maligne. In Italia nel 2015 ha fatto registrare 13.400 nuovi casi: 8.900 tra gli uomini e 4.500 tra le donne. L’incidenza mostra un incremento in entrambi i sessi (+1% l’anno).</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 xml:space="preserve">Mortalità </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 xml:space="preserve">I decessi sono stati lo scorso anno 3.371 (2.120 maschi e 1.302 femmine).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Sopravvivenza</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 xml:space="preserve">La sopravvivenza a 5 anni dei tumori del rene è pari al 71% ed è più elevata della media europea (60,6%).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Prevalenza</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In Italia risiedono 130.000 persone con pregressa diagnosi di tumore del rene. Circa il 60% dei casi prevalenti ha affrontato la diagnosi da oltre 5 anni1.</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Sintomi</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I sintomi caratteristici del tumore renale sono tre: ematuria (perdita di sangue con le urine), dolore al fianco, dorso, addome, e massa palpabile. Sempre più spesso però vi sono i riscontri "accidentali" del tumore. Questo accade quando un paziente si sottopone a un accertamento radiologico a livello addominale (ecografia, TAC, RMN) per altri motivi e casualmente viene riscontrata una massa renale</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Diagnosi</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Prende il via di solito con il riscontro di una massa renale sospetta, di norma ottenuta in prima battuta con una ecografia renale, seguita da una TAC "total-body" o stadiante, che include l'esame dell'encefalo, del torace e dell'addome completo, con mezzo di contrasto iodato. Se possibile, si cerca di evitare la biopsia della massa renale procedendo direttamente alla escissione della neoformazione (se piccola e/o soltanto sospetta per neoplasia, oppure in pazienti con insufficienza renale cronica o che hanno già subito in precedenza la perdita di un rene) o alla nefrectomia radicale, se la massa è di grandi dimensioni e sospetta per tumore già dopo ecografia e TAC. La diagnosi definitiva è istologica e avviene dopo che l'anatomo-patologo ha valutato al microscopio le sezioni della massa renale. Esami come l'urografia e la pielografia endovenosa trovano oggi indicazioni limitate, mentre la risonanza magnetica (RMN) può essere utile nei casi in cui siano da studiare più approfonditamente i rapporti tra la massa e i tessuti circostanti.</w:t>
      </w:r>
    </w:p>
    <w:p w:rsidR="00C33B46" w:rsidRPr="00C33B46" w:rsidRDefault="00C33B46" w:rsidP="00C33B46">
      <w:pPr>
        <w:spacing w:line="240" w:lineRule="auto"/>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sz w:val="24"/>
          <w:szCs w:val="24"/>
          <w:bdr w:val="none" w:sz="0" w:space="0" w:color="auto" w:frame="1"/>
          <w:shd w:val="clear" w:color="auto" w:fill="FFFFFF"/>
        </w:rPr>
        <w:t>Fattori di rischio e prevenzione</w:t>
      </w:r>
      <w:r>
        <w:rPr>
          <w:rStyle w:val="Enfasigrassetto"/>
          <w:rFonts w:ascii="Times New Roman" w:hAnsi="Times New Roman"/>
          <w:sz w:val="24"/>
          <w:szCs w:val="24"/>
          <w:bdr w:val="none" w:sz="0" w:space="0" w:color="auto" w:frame="1"/>
          <w:shd w:val="clear" w:color="auto" w:fill="FFFFFF"/>
        </w:rPr>
        <w:br/>
      </w:r>
      <w:r w:rsidRPr="00C33B46">
        <w:rPr>
          <w:rStyle w:val="Enfasigrassetto"/>
          <w:rFonts w:ascii="Times New Roman" w:hAnsi="Times New Roman"/>
          <w:b w:val="0"/>
          <w:sz w:val="24"/>
          <w:szCs w:val="24"/>
          <w:bdr w:val="none" w:sz="0" w:space="0" w:color="auto" w:frame="1"/>
          <w:shd w:val="clear" w:color="auto" w:fill="FFFFFF"/>
        </w:rPr>
        <w:t>Non è possibile una prevenzione specifica del tumore del rene, ma è possibile eliminare o ridurre alcuni fattori potenzialmente favorenti grazie a un corretto stile di vita. Il fumo, come per altre neoplasie che colpiscono l'uomo, è considerato uno dei maggiori elementi di rischio. È stato stimato che l'abolizione di questo vizio potrebbe ridurre di circa un 20% la probabilità di sviluppare un adenocarcinoma. Anche l'obesità e l'ipertensione sono stati identificati come fattori favorenti. Inoltre, l'elevato consumo di grassi animali (carni, latticini) può essere una concausa, mentre una dieta ricca di vegetali può svolgere un ruolo protettivo.</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Esiste una componente del rischio legata a fattori genetici: i parenti di primo grado di pazienti affetti da carcinoma possono sviluppare una probabilità 4 volte maggiore di essere colpiti dallo stesso tumore rispetto alla popolazione generale, ma non vi è una relazione diretta e nemmeno l'indicazione a eseguire controlli mirati a scopo preventivo. Una relazione diretta tra una specifica mutazione e la possibilità di sviluppare, tra gli altri, anche un tumore è stata riscontrata nella sindrome di von Hippel-Lindau (VHL). Infine, alcune malattie renali croniche possono aumentare il rischio di insorgenza del cancro. Per esempio i pazienti affetti da malattia renale policistica, sottoposti a dialisi per lungo tempo, presentano un rischio fino a 30 volte maggiore di sviluppare una neoplasia. Anche l'abuso di FANS (farmaci antinfiammatori non steroidei) e in particolare di fenacetina può essere un fattore predisponente. Da ultimo, possono esistere situazioni professionali facilitanti, come la prolungata esposizione ai derivati del petrolio, al torotrast e allo zinco</w:t>
      </w:r>
      <w:r w:rsidRPr="00C33B46">
        <w:rPr>
          <w:rStyle w:val="Enfasigrassetto"/>
          <w:rFonts w:ascii="Times New Roman" w:hAnsi="Times New Roman"/>
          <w:b w:val="0"/>
          <w:sz w:val="24"/>
          <w:szCs w:val="24"/>
          <w:bdr w:val="none" w:sz="0" w:space="0" w:color="auto" w:frame="1"/>
          <w:shd w:val="clear" w:color="auto" w:fill="FFFFFF"/>
          <w:vertAlign w:val="superscript"/>
        </w:rPr>
        <w:t>1</w:t>
      </w:r>
      <w:r w:rsidRPr="00C33B46">
        <w:rPr>
          <w:rStyle w:val="Enfasigrassetto"/>
          <w:rFonts w:ascii="Times New Roman" w:hAnsi="Times New Roman"/>
          <w:b w:val="0"/>
          <w:sz w:val="24"/>
          <w:szCs w:val="24"/>
          <w:bdr w:val="none" w:sz="0" w:space="0" w:color="auto" w:frame="1"/>
          <w:shd w:val="clear" w:color="auto" w:fill="FFFFFF"/>
        </w:rPr>
        <w:t xml:space="preserve">.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r w:rsidRPr="00C33B46">
        <w:rPr>
          <w:rStyle w:val="Enfasigrassetto"/>
          <w:rFonts w:ascii="Times New Roman" w:hAnsi="Times New Roman"/>
          <w:b w:val="0"/>
          <w:sz w:val="24"/>
          <w:szCs w:val="24"/>
          <w:bdr w:val="none" w:sz="0" w:space="0" w:color="auto" w:frame="1"/>
          <w:shd w:val="clear" w:color="auto" w:fill="FFFFFF"/>
        </w:rPr>
        <w:t xml:space="preserve">     </w:t>
      </w: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C33B46" w:rsidRPr="00C33B46" w:rsidRDefault="00C33B46" w:rsidP="00C33B46">
      <w:pPr>
        <w:spacing w:line="240" w:lineRule="auto"/>
        <w:jc w:val="both"/>
        <w:rPr>
          <w:rStyle w:val="Enfasigrassetto"/>
          <w:rFonts w:ascii="Times New Roman" w:hAnsi="Times New Roman"/>
          <w:b w:val="0"/>
          <w:sz w:val="24"/>
          <w:szCs w:val="24"/>
          <w:bdr w:val="none" w:sz="0" w:space="0" w:color="auto" w:frame="1"/>
          <w:shd w:val="clear" w:color="auto" w:fill="FFFFFF"/>
        </w:rPr>
      </w:pPr>
    </w:p>
    <w:p w:rsidR="00D72EAA" w:rsidRPr="00C33B46" w:rsidRDefault="00C33B46" w:rsidP="00C33B46">
      <w:pPr>
        <w:spacing w:line="240" w:lineRule="auto"/>
        <w:jc w:val="both"/>
        <w:rPr>
          <w:rFonts w:ascii="Times New Roman" w:eastAsia="VersaillesLTStd-Roman" w:hAnsi="Times New Roman" w:cs="Times New Roman"/>
          <w:b/>
          <w:sz w:val="24"/>
          <w:szCs w:val="24"/>
        </w:rPr>
      </w:pPr>
      <w:r w:rsidRPr="00C33B46">
        <w:rPr>
          <w:rStyle w:val="Enfasigrassetto"/>
          <w:rFonts w:ascii="Times New Roman" w:hAnsi="Times New Roman"/>
          <w:b w:val="0"/>
          <w:sz w:val="24"/>
          <w:szCs w:val="24"/>
          <w:bdr w:val="none" w:sz="0" w:space="0" w:color="auto" w:frame="1"/>
          <w:shd w:val="clear" w:color="auto" w:fill="FFFFFF"/>
          <w:vertAlign w:val="superscript"/>
        </w:rPr>
        <w:t>1</w:t>
      </w:r>
      <w:r w:rsidRPr="00C33B46">
        <w:rPr>
          <w:rStyle w:val="Enfasigrassetto"/>
          <w:rFonts w:ascii="Times New Roman" w:hAnsi="Times New Roman"/>
          <w:b w:val="0"/>
          <w:sz w:val="24"/>
          <w:szCs w:val="24"/>
          <w:bdr w:val="none" w:sz="0" w:space="0" w:color="auto" w:frame="1"/>
          <w:shd w:val="clear" w:color="auto" w:fill="FFFFFF"/>
        </w:rPr>
        <w:t xml:space="preserve"> AIOM-AIRTUM-Fondazione AIOM I numeri del cancro in Ita</w:t>
      </w:r>
      <w:r w:rsidRPr="00C33B46">
        <w:rPr>
          <w:rStyle w:val="Enfasigrassetto"/>
          <w:rFonts w:ascii="Times New Roman" w:hAnsi="Times New Roman"/>
          <w:b w:val="0"/>
          <w:sz w:val="28"/>
          <w:szCs w:val="28"/>
          <w:bdr w:val="none" w:sz="0" w:space="0" w:color="auto" w:frame="1"/>
          <w:shd w:val="clear" w:color="auto" w:fill="FFFFFF"/>
        </w:rPr>
        <w:t>lia 2017</w:t>
      </w:r>
      <w:bookmarkStart w:id="0" w:name="_GoBack"/>
      <w:bookmarkEnd w:id="0"/>
    </w:p>
    <w:sectPr w:rsidR="00D72EAA" w:rsidRPr="00C33B46" w:rsidSect="00972438">
      <w:headerReference w:type="default" r:id="rId8"/>
      <w:headerReference w:type="first" r:id="rId9"/>
      <w:pgSz w:w="11906" w:h="16838"/>
      <w:pgMar w:top="1417" w:right="1134" w:bottom="1134" w:left="1134"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29BD" w:rsidRDefault="009E29BD" w:rsidP="00C1582D">
      <w:pPr>
        <w:spacing w:after="0" w:line="240" w:lineRule="auto"/>
      </w:pPr>
      <w:r>
        <w:separator/>
      </w:r>
    </w:p>
  </w:endnote>
  <w:endnote w:type="continuationSeparator" w:id="0">
    <w:p w:rsidR="009E29BD" w:rsidRDefault="009E29BD" w:rsidP="00C15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saillesLTStd-Roman">
    <w:altName w:val="MS Mincho"/>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29BD" w:rsidRDefault="009E29BD" w:rsidP="00C1582D">
      <w:pPr>
        <w:spacing w:after="0" w:line="240" w:lineRule="auto"/>
      </w:pPr>
      <w:r>
        <w:separator/>
      </w:r>
    </w:p>
  </w:footnote>
  <w:footnote w:type="continuationSeparator" w:id="0">
    <w:p w:rsidR="009E29BD" w:rsidRDefault="009E29BD" w:rsidP="00C158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6A1" w:rsidRDefault="007846A1" w:rsidP="00972438">
    <w:pPr>
      <w:pStyle w:val="Intestazione"/>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438" w:rsidRDefault="009661F0" w:rsidP="00972438">
    <w:pPr>
      <w:pStyle w:val="Intestazione"/>
      <w:jc w:val="center"/>
    </w:pPr>
    <w:r>
      <w:rPr>
        <w:noProof/>
        <w:lang w:eastAsia="it-IT"/>
      </w:rPr>
      <w:drawing>
        <wp:inline distT="0" distB="0" distL="0" distR="0">
          <wp:extent cx="4182059" cy="100026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congresso 2018.png"/>
                  <pic:cNvPicPr/>
                </pic:nvPicPr>
                <pic:blipFill>
                  <a:blip r:embed="rId1">
                    <a:extLst>
                      <a:ext uri="{28A0092B-C50C-407E-A947-70E740481C1C}">
                        <a14:useLocalDpi xmlns:a14="http://schemas.microsoft.com/office/drawing/2010/main" val="0"/>
                      </a:ext>
                    </a:extLst>
                  </a:blip>
                  <a:stretch>
                    <a:fillRect/>
                  </a:stretch>
                </pic:blipFill>
                <pic:spPr>
                  <a:xfrm>
                    <a:off x="0" y="0"/>
                    <a:ext cx="4182059" cy="10002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248FF"/>
    <w:multiLevelType w:val="hybridMultilevel"/>
    <w:tmpl w:val="5664B8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6F256C"/>
    <w:multiLevelType w:val="hybridMultilevel"/>
    <w:tmpl w:val="905A691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7AF5CC8"/>
    <w:multiLevelType w:val="hybridMultilevel"/>
    <w:tmpl w:val="C414DAE8"/>
    <w:lvl w:ilvl="0" w:tplc="67C0A17C">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0CF7CE6"/>
    <w:multiLevelType w:val="hybridMultilevel"/>
    <w:tmpl w:val="B5844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AAA75E6"/>
    <w:multiLevelType w:val="hybridMultilevel"/>
    <w:tmpl w:val="AA00653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63C69F0"/>
    <w:multiLevelType w:val="multilevel"/>
    <w:tmpl w:val="1FE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2"/>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hyphenationZone w:val="283"/>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C1582D"/>
    <w:rsid w:val="000250C1"/>
    <w:rsid w:val="00053876"/>
    <w:rsid w:val="00070B68"/>
    <w:rsid w:val="00086823"/>
    <w:rsid w:val="000E01D2"/>
    <w:rsid w:val="00110D64"/>
    <w:rsid w:val="0013179D"/>
    <w:rsid w:val="00170FFB"/>
    <w:rsid w:val="00192225"/>
    <w:rsid w:val="00204C8A"/>
    <w:rsid w:val="00221579"/>
    <w:rsid w:val="00246F76"/>
    <w:rsid w:val="002A5785"/>
    <w:rsid w:val="002C29B1"/>
    <w:rsid w:val="002E4920"/>
    <w:rsid w:val="0033044B"/>
    <w:rsid w:val="00344011"/>
    <w:rsid w:val="003C4FAC"/>
    <w:rsid w:val="003D0F7C"/>
    <w:rsid w:val="003D47FF"/>
    <w:rsid w:val="003F0370"/>
    <w:rsid w:val="004318D1"/>
    <w:rsid w:val="004632D0"/>
    <w:rsid w:val="004C7DE5"/>
    <w:rsid w:val="004F5902"/>
    <w:rsid w:val="00513A3F"/>
    <w:rsid w:val="00523A71"/>
    <w:rsid w:val="00532387"/>
    <w:rsid w:val="00536431"/>
    <w:rsid w:val="00564332"/>
    <w:rsid w:val="005904DD"/>
    <w:rsid w:val="005A457D"/>
    <w:rsid w:val="005A5BCC"/>
    <w:rsid w:val="005D4D03"/>
    <w:rsid w:val="005E660F"/>
    <w:rsid w:val="00617812"/>
    <w:rsid w:val="00663498"/>
    <w:rsid w:val="00664CD9"/>
    <w:rsid w:val="006D1070"/>
    <w:rsid w:val="0070598C"/>
    <w:rsid w:val="00720EE4"/>
    <w:rsid w:val="007559AB"/>
    <w:rsid w:val="00767542"/>
    <w:rsid w:val="007846A1"/>
    <w:rsid w:val="007D0F45"/>
    <w:rsid w:val="007E6270"/>
    <w:rsid w:val="0080448C"/>
    <w:rsid w:val="008248D3"/>
    <w:rsid w:val="00842117"/>
    <w:rsid w:val="008B65B1"/>
    <w:rsid w:val="008E7F4D"/>
    <w:rsid w:val="00926107"/>
    <w:rsid w:val="009661F0"/>
    <w:rsid w:val="00971DA8"/>
    <w:rsid w:val="00972438"/>
    <w:rsid w:val="009816D4"/>
    <w:rsid w:val="00992B20"/>
    <w:rsid w:val="009C3364"/>
    <w:rsid w:val="009D2349"/>
    <w:rsid w:val="009E29BD"/>
    <w:rsid w:val="00A66DCC"/>
    <w:rsid w:val="00A87599"/>
    <w:rsid w:val="00A926B9"/>
    <w:rsid w:val="00A93052"/>
    <w:rsid w:val="00A96272"/>
    <w:rsid w:val="00AD2899"/>
    <w:rsid w:val="00B01E48"/>
    <w:rsid w:val="00B41AF7"/>
    <w:rsid w:val="00C01599"/>
    <w:rsid w:val="00C01B47"/>
    <w:rsid w:val="00C1582D"/>
    <w:rsid w:val="00C33B46"/>
    <w:rsid w:val="00C647E7"/>
    <w:rsid w:val="00C82E6B"/>
    <w:rsid w:val="00C84454"/>
    <w:rsid w:val="00CF12F9"/>
    <w:rsid w:val="00D274C2"/>
    <w:rsid w:val="00D466C1"/>
    <w:rsid w:val="00D618F1"/>
    <w:rsid w:val="00D72EAA"/>
    <w:rsid w:val="00D738CA"/>
    <w:rsid w:val="00DA7142"/>
    <w:rsid w:val="00E17B84"/>
    <w:rsid w:val="00E3135C"/>
    <w:rsid w:val="00E4519E"/>
    <w:rsid w:val="00E60E24"/>
    <w:rsid w:val="00E64FBA"/>
    <w:rsid w:val="00F070E7"/>
    <w:rsid w:val="00F20BDD"/>
    <w:rsid w:val="00FA39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416B4B25-27F3-4520-A672-CC7B94905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1582D"/>
  </w:style>
  <w:style w:type="paragraph" w:styleId="Titolo1">
    <w:name w:val="heading 1"/>
    <w:basedOn w:val="Normale"/>
    <w:next w:val="Normale"/>
    <w:link w:val="Titolo1Carattere"/>
    <w:uiPriority w:val="9"/>
    <w:qFormat/>
    <w:rsid w:val="00C158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1582D"/>
    <w:rPr>
      <w:rFonts w:asciiTheme="majorHAnsi" w:eastAsiaTheme="majorEastAsia" w:hAnsiTheme="majorHAnsi" w:cstheme="majorBidi"/>
      <w:b/>
      <w:bCs/>
      <w:color w:val="365F91" w:themeColor="accent1" w:themeShade="BF"/>
      <w:sz w:val="28"/>
      <w:szCs w:val="28"/>
    </w:rPr>
  </w:style>
  <w:style w:type="character" w:styleId="Enfasigrassetto">
    <w:name w:val="Strong"/>
    <w:basedOn w:val="Carpredefinitoparagrafo"/>
    <w:uiPriority w:val="22"/>
    <w:qFormat/>
    <w:rsid w:val="00C1582D"/>
    <w:rPr>
      <w:b/>
      <w:bCs/>
    </w:rPr>
  </w:style>
  <w:style w:type="character" w:customStyle="1" w:styleId="apple-converted-space">
    <w:name w:val="apple-converted-space"/>
    <w:basedOn w:val="Carpredefinitoparagrafo"/>
    <w:rsid w:val="00C1582D"/>
  </w:style>
  <w:style w:type="paragraph" w:styleId="NormaleWeb">
    <w:name w:val="Normal (Web)"/>
    <w:basedOn w:val="Normale"/>
    <w:uiPriority w:val="99"/>
    <w:unhideWhenUsed/>
    <w:rsid w:val="00C1582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C1582D"/>
    <w:rPr>
      <w:rFonts w:ascii="Calibri" w:eastAsia="Calibri" w:hAnsi="Calibri" w:cs="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C1582D"/>
    <w:rPr>
      <w:rFonts w:ascii="Calibri" w:eastAsia="Calibri" w:hAnsi="Calibri" w:cs="Times New Roman"/>
      <w:sz w:val="20"/>
      <w:szCs w:val="20"/>
    </w:rPr>
  </w:style>
  <w:style w:type="character" w:styleId="Rimandonotaapidipagina">
    <w:name w:val="footnote reference"/>
    <w:uiPriority w:val="99"/>
    <w:semiHidden/>
    <w:unhideWhenUsed/>
    <w:rsid w:val="00C1582D"/>
    <w:rPr>
      <w:vertAlign w:val="superscript"/>
    </w:rPr>
  </w:style>
  <w:style w:type="character" w:customStyle="1" w:styleId="Enfasicorsivo1">
    <w:name w:val="Enfasi (corsivo)1"/>
    <w:basedOn w:val="Carpredefinitoparagrafo"/>
    <w:rsid w:val="00C1582D"/>
    <w:rPr>
      <w:i/>
    </w:rPr>
  </w:style>
  <w:style w:type="character" w:customStyle="1" w:styleId="Enfasigrassetto1">
    <w:name w:val="Enfasi (grassetto)1"/>
    <w:basedOn w:val="Carpredefinitoparagrafo"/>
    <w:rsid w:val="00C1582D"/>
    <w:rPr>
      <w:b/>
    </w:rPr>
  </w:style>
  <w:style w:type="paragraph" w:styleId="Paragrafoelenco">
    <w:name w:val="List Paragraph"/>
    <w:basedOn w:val="Normale"/>
    <w:uiPriority w:val="34"/>
    <w:qFormat/>
    <w:rsid w:val="00C1582D"/>
    <w:pPr>
      <w:ind w:left="720"/>
      <w:contextualSpacing/>
    </w:pPr>
    <w:rPr>
      <w:rFonts w:ascii="Calibri" w:eastAsia="Calibri" w:hAnsi="Calibri" w:cs="Times New Roman"/>
    </w:rPr>
  </w:style>
  <w:style w:type="paragraph" w:styleId="Intestazione">
    <w:name w:val="header"/>
    <w:basedOn w:val="Normale"/>
    <w:link w:val="IntestazioneCarattere"/>
    <w:uiPriority w:val="99"/>
    <w:unhideWhenUsed/>
    <w:rsid w:val="007E62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6270"/>
  </w:style>
  <w:style w:type="paragraph" w:styleId="Pidipagina">
    <w:name w:val="footer"/>
    <w:basedOn w:val="Normale"/>
    <w:link w:val="PidipaginaCarattere"/>
    <w:uiPriority w:val="99"/>
    <w:unhideWhenUsed/>
    <w:rsid w:val="007E62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6270"/>
  </w:style>
  <w:style w:type="paragraph" w:styleId="Testofumetto">
    <w:name w:val="Balloon Text"/>
    <w:basedOn w:val="Normale"/>
    <w:link w:val="TestofumettoCarattere"/>
    <w:uiPriority w:val="99"/>
    <w:semiHidden/>
    <w:unhideWhenUsed/>
    <w:rsid w:val="0097243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24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158798-755C-47AD-9DFC-899749D99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4</Pages>
  <Words>1414</Words>
  <Characters>8063</Characters>
  <Application>Microsoft Office Word</Application>
  <DocSecurity>0</DocSecurity>
  <Lines>67</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fabrizio</cp:lastModifiedBy>
  <cp:revision>76</cp:revision>
  <dcterms:created xsi:type="dcterms:W3CDTF">2015-05-28T13:21:00Z</dcterms:created>
  <dcterms:modified xsi:type="dcterms:W3CDTF">2018-04-04T09:32:00Z</dcterms:modified>
</cp:coreProperties>
</file>