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438" w:rsidRDefault="00972438" w:rsidP="00C1582D">
      <w:pPr>
        <w:autoSpaceDE w:val="0"/>
        <w:autoSpaceDN w:val="0"/>
        <w:adjustRightInd w:val="0"/>
        <w:spacing w:after="0" w:line="240" w:lineRule="auto"/>
        <w:jc w:val="center"/>
        <w:rPr>
          <w:rFonts w:ascii="Times New Roman" w:hAnsi="Times New Roman" w:cs="Times New Roman"/>
          <w:b/>
          <w:bCs/>
          <w:sz w:val="28"/>
          <w:szCs w:val="28"/>
        </w:rPr>
      </w:pPr>
    </w:p>
    <w:p w:rsidR="00C1582D" w:rsidRPr="005904DD" w:rsidRDefault="00C1582D" w:rsidP="00510466">
      <w:pPr>
        <w:autoSpaceDE w:val="0"/>
        <w:autoSpaceDN w:val="0"/>
        <w:adjustRightInd w:val="0"/>
        <w:spacing w:after="0" w:line="240" w:lineRule="auto"/>
        <w:jc w:val="center"/>
        <w:rPr>
          <w:rFonts w:ascii="Times New Roman" w:hAnsi="Times New Roman"/>
          <w:b/>
          <w:bCs/>
          <w:sz w:val="24"/>
          <w:szCs w:val="24"/>
        </w:rPr>
      </w:pPr>
      <w:r w:rsidRPr="005904DD">
        <w:rPr>
          <w:rFonts w:ascii="Times New Roman" w:hAnsi="Times New Roman"/>
          <w:b/>
          <w:bCs/>
          <w:sz w:val="24"/>
          <w:szCs w:val="24"/>
        </w:rPr>
        <w:t>IL TUMORE DELLA PROSTATA</w:t>
      </w:r>
    </w:p>
    <w:p w:rsidR="00C1582D" w:rsidRPr="005904DD" w:rsidRDefault="00C1582D" w:rsidP="00C1582D">
      <w:pPr>
        <w:pStyle w:val="NormaleWeb"/>
        <w:shd w:val="clear" w:color="auto" w:fill="FFFFFF"/>
        <w:spacing w:before="0" w:beforeAutospacing="0" w:after="0" w:afterAutospacing="0"/>
        <w:jc w:val="both"/>
        <w:rPr>
          <w:b/>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Il carcinoma prostatico nell’ultimo decennio è diventato il tumore più frequente nella popolazione maschile dei Paesi occidentali. Questo fenomeno, più che per la presenza di fattori di rischio, è dovuto alla maggiore probabilità di diagnosticare la malattia, che è presente in forma latente nel 15-30% degli over 50 e in circa il 70% degli ottantenni.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Incidenza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Il cancro della prostata rappresenta circa il 20% di tutti i tumori diagnosticati a partire dai 50 anni di età. L’incidenza della malattia ha mostrato negli ultimi anni una sostanziale stabilità, dopo la crescita registrata tra il 1998 e il 2003, con la maggiore diffusione del test del PSA. Nel 2016 i nuovi casi sono stati 35.000, dei quali circa un terzo in classe di rischio bassa (e cioè non aggressivi).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Mortalità</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Nel 2013 si sono osservati 7.203 decessi per cancro prostatico (ISTAT). Nella quasi totalità dei casi riguardano gli over70. Si tratta comunque di una causa di morte in costante, anche se moderata, diminuzione (–2,5% per anno) da circa un decennio.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Sopravvivenza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La sopravvivenza dei pazienti con cancro alla prostata è attualmente del 88,6% a 5 anni dalla diagnosi. Si tratta di un dato più alto rispetto alla media europea (83,4%).</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Prevalenza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In Italia si stima siano presenti circa 398.000 persone con diagnosi di tumore prostatico: circa il 26% dei maschi con cancro e quasi il 10% di tutti i pazienti (tra maschi e femmine) del Paese. Il 55% di queste diagnosi è stato formulato da meno di 5 anni, il 14% da oltre 10 e, data la biologia della malattia, la maggior parte dei casi viene riscontrata nell’età più avanzata (6.811 casi ogni 100.000 ultrasettantacinquenni)1.</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 </w:t>
      </w: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Sintomi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Il cancro della prostata non presenta sintomi specifici. I disturbi che si possono riscontrare sono gli stessi che si accompagnano all’iperplasia prostatica benigna come: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indebolimento del getto delle urine;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frequente e incontenibile necessità di urinare, sia di giorno che di notte;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possibile dolore alla minzione;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presenza di sangue nelle urine (in alcune occasioni).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I sintomi compaiono solo se la neoplasia è abbastanza voluminosa da esercitare infiltrazione di uretra o vescica. È difficile quindi che siano presenti se la malattia è in stadio iniziale e di piccole dimensioni. Il tumore cresce spesso lentamente; per tale motivo i sintomi possono rimanere assenti per molti anni.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Diagnosi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Per le neoplasie della prostata prevalgono dati e pareri discordanti sull’importanza di esami “preventivi”. In particolare le istituzioni </w:t>
      </w:r>
      <w:proofErr w:type="spellStart"/>
      <w:r w:rsidRPr="007B50D3">
        <w:rPr>
          <w:rFonts w:ascii="Times New Roman" w:hAnsi="Times New Roman" w:cs="Times New Roman"/>
          <w:sz w:val="24"/>
          <w:szCs w:val="24"/>
          <w:shd w:val="clear" w:color="auto" w:fill="FFFFFF"/>
        </w:rPr>
        <w:t>regolatorie</w:t>
      </w:r>
      <w:proofErr w:type="spellEnd"/>
      <w:r w:rsidRPr="007B50D3">
        <w:rPr>
          <w:rFonts w:ascii="Times New Roman" w:hAnsi="Times New Roman" w:cs="Times New Roman"/>
          <w:sz w:val="24"/>
          <w:szCs w:val="24"/>
          <w:shd w:val="clear" w:color="auto" w:fill="FFFFFF"/>
        </w:rPr>
        <w:t xml:space="preserve"> americane disincentivano il test del PSA (antigene prostatico specifico) come procedura di screening, ora sottolineano come la decisione di fare o meno il test debba essere presa dal paziente informato dei vantaggi di sottoporsi al test. La </w:t>
      </w:r>
      <w:r w:rsidRPr="007B50D3">
        <w:rPr>
          <w:rFonts w:ascii="Times New Roman" w:hAnsi="Times New Roman" w:cs="Times New Roman"/>
          <w:sz w:val="24"/>
          <w:szCs w:val="24"/>
          <w:shd w:val="clear" w:color="auto" w:fill="FFFFFF"/>
        </w:rPr>
        <w:lastRenderedPageBreak/>
        <w:t>comunità uro-oncologica europea aveva comunque sempre molto criticato questo suggerimento negativo. Va ricordato che il PSA non è un marcatore tumorale ma un indicato</w:t>
      </w:r>
      <w:r w:rsidR="00384827">
        <w:rPr>
          <w:rFonts w:ascii="Times New Roman" w:hAnsi="Times New Roman" w:cs="Times New Roman"/>
          <w:sz w:val="24"/>
          <w:szCs w:val="24"/>
          <w:shd w:val="clear" w:color="auto" w:fill="FFFFFF"/>
        </w:rPr>
        <w:t>re del benessere della prostata. S</w:t>
      </w:r>
      <w:r w:rsidRPr="007B50D3">
        <w:rPr>
          <w:rFonts w:ascii="Times New Roman" w:hAnsi="Times New Roman" w:cs="Times New Roman"/>
          <w:sz w:val="24"/>
          <w:szCs w:val="24"/>
          <w:shd w:val="clear" w:color="auto" w:fill="FFFFFF"/>
        </w:rPr>
        <w:t xml:space="preserve">i può elevare infatti in presenza di infezioni/infiammazioni di un tumore ma anche dell’iperplasia benigna prostatica. Va eseguito su indicazione del medico di medicina generale e/o dello specialista urologo dopo i 50 anni o se vi è familiarità diretta per questo tumore dai 40 anni, oppure quando si soffre di disturbi urinari. Anche se non interamente accettati dalla comunità uro-oncologica, al test del livello di PSA possono essere affiancati due nuovi marcatori (PHI e PCa3), attualmente ancora in fase di studio.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L’esplorazione rettale è un esame semplice grazie al quale l’urologo può individuare la presenza di noduli prostatici sospetti. Viene spesso evitato dalla maggior parte della popolazione maschile - probabilmente per ragioni di pudore - anche se si tratta di una visita semplice e indolore che tuttavia richiede una buona esperienza da parte dell’urologo. Se il valore del PSA e l’esplorazione rettale danno luogo ad un sospetto di neoplasia prostatica, si consiglia di effettuare una biopsia della prostata. E’ in grande evoluzione l’uso della risonanza magnetica </w:t>
      </w:r>
      <w:proofErr w:type="spellStart"/>
      <w:r w:rsidRPr="007B50D3">
        <w:rPr>
          <w:rFonts w:ascii="Times New Roman" w:hAnsi="Times New Roman" w:cs="Times New Roman"/>
          <w:sz w:val="24"/>
          <w:szCs w:val="24"/>
          <w:shd w:val="clear" w:color="auto" w:fill="FFFFFF"/>
        </w:rPr>
        <w:t>multiparametrica</w:t>
      </w:r>
      <w:proofErr w:type="spellEnd"/>
      <w:r w:rsidRPr="007B50D3">
        <w:rPr>
          <w:rFonts w:ascii="Times New Roman" w:hAnsi="Times New Roman" w:cs="Times New Roman"/>
          <w:sz w:val="24"/>
          <w:szCs w:val="24"/>
          <w:shd w:val="clear" w:color="auto" w:fill="FFFFFF"/>
        </w:rPr>
        <w:t xml:space="preserve"> che diverrà a breve l’esame elettivo da affiancare al PSA perché è in grado di descrivere gli aspetti anatomici e funzionali delle patologie prostatiche.</w:t>
      </w:r>
      <w:r>
        <w:rPr>
          <w:rFonts w:ascii="Times New Roman" w:hAnsi="Times New Roman" w:cs="Times New Roman"/>
          <w:sz w:val="24"/>
          <w:szCs w:val="24"/>
          <w:shd w:val="clear" w:color="auto" w:fill="FFFFFF"/>
        </w:rPr>
        <w:br/>
      </w: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Prevenzione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Le cause reali del carcinoma prostatico rimangono ancora sconosciute. È possibile però individuare alcuni potenziali fattori di rischio che aumentano la probabilità di ammalarsi, anche se non sono direttamente responsabili dell’insorgenza della patologia.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È provato come alcuni fattori dietetici e comportamentali, oltre all’età, possano essere associati alla malattia: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 alimentazione, una dieta ricca di grassi, soprattutto saturi come fritti e insaccati ed eccessivo consumo di carne rossa e latticini (quindi anche di calcio), aumenterebbero l’incidenza. La dieta vegetariana sembra invece svolgere un’azione protettiva. Andrebbero privilegiati in particolare gli ortaggi gialli e verdi, l’olio d’oliva e la frutta. Consigliabile il consumo di vitamine A, D, E, ma solo attraverso la dieta.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sedentarietà;</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sostanze chimiche, come cadmio, alcuni fertilizzanti e coloranti;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fattori ereditari, anche se in una minoranza dei casi (&lt;15%), gli uomini con un parente stretto (padre, zio o fratello) con questo cancro presentano infatti un maggiore rischio di ammalarsi (soprattutto se la neoplasia è stata diagnosticata a più di un familiare, anche prima di 65 anni). È bene quindi che effettuino controlli già a partire dai 40-45 anni;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fattori genetici, quali BRAC1 e BRAC2 (come nel cancro della mammella).</w:t>
      </w: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center"/>
        <w:rPr>
          <w:rFonts w:ascii="Times New Roman" w:hAnsi="Times New Roman" w:cs="Times New Roman"/>
          <w:b/>
          <w:sz w:val="24"/>
          <w:szCs w:val="24"/>
          <w:shd w:val="clear" w:color="auto" w:fill="FFFFFF"/>
        </w:rPr>
      </w:pPr>
      <w:r w:rsidRPr="007B50D3">
        <w:rPr>
          <w:rFonts w:ascii="Times New Roman" w:hAnsi="Times New Roman" w:cs="Times New Roman"/>
          <w:b/>
          <w:sz w:val="24"/>
          <w:szCs w:val="24"/>
          <w:shd w:val="clear" w:color="auto" w:fill="FFFFFF"/>
        </w:rPr>
        <w:lastRenderedPageBreak/>
        <w:t>IL TUMORE DEL TESTICOLO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384827" w:rsidP="007B50D3">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E’</w:t>
      </w:r>
      <w:bookmarkStart w:id="0" w:name="_GoBack"/>
      <w:bookmarkEnd w:id="0"/>
      <w:r w:rsidR="007B50D3" w:rsidRPr="007B50D3">
        <w:rPr>
          <w:rFonts w:ascii="Times New Roman" w:hAnsi="Times New Roman" w:cs="Times New Roman"/>
          <w:sz w:val="24"/>
          <w:szCs w:val="24"/>
          <w:shd w:val="clear" w:color="auto" w:fill="FFFFFF"/>
        </w:rPr>
        <w:t xml:space="preserve"> una forma rara di cancro che si manifesta più comunemente nei giovani maschi tra i 15 e i 35 anni.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Quasi tutti i tumori testicolari (95%) si originano nelle cellule che producono gli spermatozoi, e sono per questo chiamati germinali (seminomi e non seminomi). I tumori seminomi sono i più numerosi. Si distinguono a loro volta in seminomi cosiddetti classici (tipici) e in spermatocitici. Complessivamente rappresentano il 40-50% dei tumori testicolari, ma quelli di tipo classico costituiscono più del 95% dei seminomi e si sviluppano nei maschi più giovani (tra i 25 e i 45 anni), mentre lo spermatocitico è più raro e si manifesta in età avanzata (oltre 65 anni), cresce più lentamente e rimane in genere localizzato al testicolo. I tumori non seminomi corrispondono alla forma tumorale dei tessuti nelle prime fasi dello sviluppo embrionale. Colpiscono i maschi tra i 20 e i 30 anni. Esistono poi, anche forme miste (definiti tumori seminomi/non seminomi), che vengono in genere trattati come i non seminomi.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Il restante 5 % delle neoplasie è costituita da tumori non germinali. I principali tipi sono i tumori delle cellule di </w:t>
      </w:r>
      <w:proofErr w:type="spellStart"/>
      <w:r w:rsidRPr="007B50D3">
        <w:rPr>
          <w:rFonts w:ascii="Times New Roman" w:hAnsi="Times New Roman" w:cs="Times New Roman"/>
          <w:sz w:val="24"/>
          <w:szCs w:val="24"/>
          <w:shd w:val="clear" w:color="auto" w:fill="FFFFFF"/>
        </w:rPr>
        <w:t>Leydig</w:t>
      </w:r>
      <w:proofErr w:type="spellEnd"/>
      <w:r w:rsidRPr="007B50D3">
        <w:rPr>
          <w:rFonts w:ascii="Times New Roman" w:hAnsi="Times New Roman" w:cs="Times New Roman"/>
          <w:sz w:val="24"/>
          <w:szCs w:val="24"/>
          <w:shd w:val="clear" w:color="auto" w:fill="FFFFFF"/>
        </w:rPr>
        <w:t xml:space="preserve"> e delle cellule del </w:t>
      </w:r>
      <w:proofErr w:type="spellStart"/>
      <w:r w:rsidRPr="007B50D3">
        <w:rPr>
          <w:rFonts w:ascii="Times New Roman" w:hAnsi="Times New Roman" w:cs="Times New Roman"/>
          <w:sz w:val="24"/>
          <w:szCs w:val="24"/>
          <w:shd w:val="clear" w:color="auto" w:fill="FFFFFF"/>
        </w:rPr>
        <w:t>Sertoli</w:t>
      </w:r>
      <w:proofErr w:type="spellEnd"/>
      <w:r w:rsidRPr="007B50D3">
        <w:rPr>
          <w:rFonts w:ascii="Times New Roman" w:hAnsi="Times New Roman" w:cs="Times New Roman"/>
          <w:sz w:val="24"/>
          <w:szCs w:val="24"/>
          <w:shd w:val="clear" w:color="auto" w:fill="FFFFFF"/>
        </w:rPr>
        <w:t xml:space="preserve">. I primi derivano dalle cellule deputate alla produzione di ormoni maschili e si osservano in genere nei bambini tra i 5 e i 10 anni, talvolta anche negli adulti. La maggior parte di questi tumori è benigna: non si diffonde al di fuori del testicolo ed è trattata definitivamente con la chirurgia. I tumori delle cellule del </w:t>
      </w:r>
      <w:proofErr w:type="spellStart"/>
      <w:r w:rsidRPr="007B50D3">
        <w:rPr>
          <w:rFonts w:ascii="Times New Roman" w:hAnsi="Times New Roman" w:cs="Times New Roman"/>
          <w:sz w:val="24"/>
          <w:szCs w:val="24"/>
          <w:shd w:val="clear" w:color="auto" w:fill="FFFFFF"/>
        </w:rPr>
        <w:t>Sertoli</w:t>
      </w:r>
      <w:proofErr w:type="spellEnd"/>
      <w:r w:rsidRPr="007B50D3">
        <w:rPr>
          <w:rFonts w:ascii="Times New Roman" w:hAnsi="Times New Roman" w:cs="Times New Roman"/>
          <w:sz w:val="24"/>
          <w:szCs w:val="24"/>
          <w:shd w:val="clear" w:color="auto" w:fill="FFFFFF"/>
        </w:rPr>
        <w:t xml:space="preserve"> e gli </w:t>
      </w:r>
      <w:proofErr w:type="spellStart"/>
      <w:r w:rsidRPr="007B50D3">
        <w:rPr>
          <w:rFonts w:ascii="Times New Roman" w:hAnsi="Times New Roman" w:cs="Times New Roman"/>
          <w:sz w:val="24"/>
          <w:szCs w:val="24"/>
          <w:shd w:val="clear" w:color="auto" w:fill="FFFFFF"/>
        </w:rPr>
        <w:t>androblastomi</w:t>
      </w:r>
      <w:proofErr w:type="spellEnd"/>
      <w:r w:rsidRPr="007B50D3">
        <w:rPr>
          <w:rFonts w:ascii="Times New Roman" w:hAnsi="Times New Roman" w:cs="Times New Roman"/>
          <w:sz w:val="24"/>
          <w:szCs w:val="24"/>
          <w:shd w:val="clear" w:color="auto" w:fill="FFFFFF"/>
        </w:rPr>
        <w:t>, invece, derivano da cellule che sostengono e nutrono le cellule che producono lo sperma.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 xml:space="preserve">Incidenza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I carcinomi del testicolo registrano circa 2.500 nuovi caso l’anno. Nella fascia d’età fino ai 50 anni costituiscono la più frequente malattia oncologica.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Mortalità</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Nel 2013 i decessi per tumore del testicolo in Italia è pari allo 0,1% dei decessi per tumore maschile.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Sopravvivenza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La sopravvivenza a 5 anni è pari al 90,2% in linea con la media europea.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Prevalenza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 xml:space="preserve">E’ più elevata al Centro-Nord oltre il 77% dei casi prevalenti ha affrontato la diagnosi da oltre 5 anni1.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Sintomi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Il carcinoma ai testicoli non presenta sintomi chiari e precoci, per questo motivo possono passare anche diversi mesi prima di giungere a una diagnosi precisa. Sintomi comuni sono: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rigonfiamento del testicolo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perdita di volume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sensazione di pesantezza nello scroto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dolore sordo nella parte inferiore dell’addome o all’inguine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improvvisa formazione di liquido nello scroto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dolore o senso di disagio al testicolo o allo scroto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sangue nelle urine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ginecomastia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Altri sintomi, normalmente non collegati al tumore testicolare, includono: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presenza di foruncoli o arrossamenti esterni del testicolo,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masse libere all’interno dello scroto, non collegate ad alcuna struttura interna,</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masse nell'epididimo che danno l'impressione di avere un terzo testicolo,</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7B50D3">
        <w:rPr>
          <w:rFonts w:ascii="Times New Roman" w:hAnsi="Times New Roman" w:cs="Times New Roman"/>
          <w:sz w:val="24"/>
          <w:szCs w:val="24"/>
          <w:shd w:val="clear" w:color="auto" w:fill="FFFFFF"/>
        </w:rPr>
        <w:t>dolore o sensazione di calore avvertiti durante la minzione.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Diagnosi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L’esame clinico è fondamentale: nei casi sospetti il medico procederà alla palpazione del testicolo (esame fisico) e all’anamnesi. Il paziente sarà poi sottoposto a un’ecografia testicolare, che permette di distinguere una forma cistica (in genere benigna) da una solida. È possibile esaminare anche eventuali marcatori tumorali nel siero, come alfa-</w:t>
      </w:r>
      <w:proofErr w:type="spellStart"/>
      <w:r w:rsidRPr="007B50D3">
        <w:rPr>
          <w:rFonts w:ascii="Times New Roman" w:hAnsi="Times New Roman" w:cs="Times New Roman"/>
          <w:sz w:val="24"/>
          <w:szCs w:val="24"/>
          <w:shd w:val="clear" w:color="auto" w:fill="FFFFFF"/>
        </w:rPr>
        <w:t>fetoproteina</w:t>
      </w:r>
      <w:proofErr w:type="spellEnd"/>
      <w:r w:rsidRPr="007B50D3">
        <w:rPr>
          <w:rFonts w:ascii="Times New Roman" w:hAnsi="Times New Roman" w:cs="Times New Roman"/>
          <w:sz w:val="24"/>
          <w:szCs w:val="24"/>
          <w:shd w:val="clear" w:color="auto" w:fill="FFFFFF"/>
        </w:rPr>
        <w:t xml:space="preserve"> (AFP) e beta-gonadotropina corionica umana (beta-</w:t>
      </w:r>
      <w:proofErr w:type="spellStart"/>
      <w:r w:rsidRPr="007B50D3">
        <w:rPr>
          <w:rFonts w:ascii="Times New Roman" w:hAnsi="Times New Roman" w:cs="Times New Roman"/>
          <w:sz w:val="24"/>
          <w:szCs w:val="24"/>
          <w:shd w:val="clear" w:color="auto" w:fill="FFFFFF"/>
        </w:rPr>
        <w:t>hCG</w:t>
      </w:r>
      <w:proofErr w:type="spellEnd"/>
      <w:r w:rsidRPr="007B50D3">
        <w:rPr>
          <w:rFonts w:ascii="Times New Roman" w:hAnsi="Times New Roman" w:cs="Times New Roman"/>
          <w:sz w:val="24"/>
          <w:szCs w:val="24"/>
          <w:shd w:val="clear" w:color="auto" w:fill="FFFFFF"/>
        </w:rPr>
        <w:t xml:space="preserve">) o lattato deidrogenasi (LDH). Se si sospetta il tumore si dovrà eseguire l’orchiectomia inguinale esplorativa, che prevede la rimozione del testicolo attraverso un’incisione all’inguine. Un campione di tessuto del testicolo sarà poi analizzato per determinare l’origine del tumore. La biopsia non è consigliata prima dell’asportazione del testicolo, perché il rischio di diffondere il tumore è piuttosto alto. </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b/>
          <w:i/>
          <w:sz w:val="24"/>
          <w:szCs w:val="24"/>
          <w:shd w:val="clear" w:color="auto" w:fill="FFFFFF"/>
        </w:rPr>
      </w:pPr>
      <w:r w:rsidRPr="007B50D3">
        <w:rPr>
          <w:rFonts w:ascii="Times New Roman" w:hAnsi="Times New Roman" w:cs="Times New Roman"/>
          <w:b/>
          <w:i/>
          <w:sz w:val="24"/>
          <w:szCs w:val="24"/>
          <w:shd w:val="clear" w:color="auto" w:fill="FFFFFF"/>
        </w:rPr>
        <w:t>Fattori di rischio e prevenzione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I pazienti con criptorchidismo (testicolo che non discende nello scroto durante lo sviluppo) hanno un rischio da 10 a 40 volte superiore di sviluppare un cancro (di tipo seminoma) rispetto ai maschi sani. Se l’intervento di orchidopessia (fissazione chirurgica del testicolo nella borsa scrotale) è stato eseguito prima dei 6 anni, il rischio si riduce, mentre aumenta se parenti di primo grado hanno ricevuto diagnosi di tumore del testicolo. Secondo alcuni studi epidemiologici, l’utilizzo degli estrogeni durante la gravidanza può aumentare la predisposizione della neoplasia nel nascituro; anche l’abuso di alcool e sedativi nella madre è un altro importante elemento di rischio. Non è mai stato dimostrato, con certezza che i traumi a livello testicolare possano causare direttamente il cancro; spesso però è proprio l’evento traumatico che consente di arrivare alla diagnosi.</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r w:rsidRPr="007B50D3">
        <w:rPr>
          <w:rFonts w:ascii="Times New Roman" w:hAnsi="Times New Roman" w:cs="Times New Roman"/>
          <w:sz w:val="24"/>
          <w:szCs w:val="24"/>
          <w:shd w:val="clear" w:color="auto" w:fill="FFFFFF"/>
        </w:rPr>
        <w:t>Per la prevenzione, è molto consigliata l’autopalpazione del testicolo a partire dalla pubertà. Nei maschi con storia di criptorchidismo, atrofia testicolare (perdita della funzione testicolare), precedente tumore testicolare o familiari di primo grado affetti dalla malattia, è indicata anche una visita urologica specialistica annuale.</w:t>
      </w: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7B50D3" w:rsidRPr="007B50D3" w:rsidRDefault="007B50D3" w:rsidP="007B50D3">
      <w:pPr>
        <w:spacing w:after="0" w:line="240" w:lineRule="auto"/>
        <w:jc w:val="both"/>
        <w:rPr>
          <w:rFonts w:ascii="Times New Roman" w:hAnsi="Times New Roman" w:cs="Times New Roman"/>
          <w:sz w:val="24"/>
          <w:szCs w:val="24"/>
          <w:shd w:val="clear" w:color="auto" w:fill="FFFFFF"/>
        </w:rPr>
      </w:pPr>
    </w:p>
    <w:p w:rsidR="008A3595" w:rsidRPr="00D66248" w:rsidRDefault="008A3595" w:rsidP="00C1582D">
      <w:pPr>
        <w:spacing w:after="0" w:line="240" w:lineRule="auto"/>
        <w:jc w:val="both"/>
        <w:rPr>
          <w:rFonts w:ascii="Times New Roman" w:hAnsi="Times New Roman" w:cs="Times New Roman"/>
          <w:sz w:val="24"/>
          <w:szCs w:val="24"/>
          <w:shd w:val="clear" w:color="auto" w:fill="FFFFFF"/>
        </w:rPr>
      </w:pPr>
    </w:p>
    <w:sectPr w:rsidR="008A3595" w:rsidRPr="00D66248" w:rsidSect="00972438">
      <w:headerReference w:type="default" r:id="rId8"/>
      <w:headerReference w:type="first" r:id="rId9"/>
      <w:pgSz w:w="11906" w:h="16838"/>
      <w:pgMar w:top="1417" w:right="1134" w:bottom="1134" w:left="1134"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2E4B" w:rsidRDefault="00362E4B" w:rsidP="00C1582D">
      <w:pPr>
        <w:spacing w:after="0" w:line="240" w:lineRule="auto"/>
      </w:pPr>
      <w:r>
        <w:separator/>
      </w:r>
    </w:p>
  </w:endnote>
  <w:endnote w:type="continuationSeparator" w:id="0">
    <w:p w:rsidR="00362E4B" w:rsidRDefault="00362E4B" w:rsidP="00C15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2E4B" w:rsidRDefault="00362E4B" w:rsidP="00C1582D">
      <w:pPr>
        <w:spacing w:after="0" w:line="240" w:lineRule="auto"/>
      </w:pPr>
      <w:r>
        <w:separator/>
      </w:r>
    </w:p>
  </w:footnote>
  <w:footnote w:type="continuationSeparator" w:id="0">
    <w:p w:rsidR="00362E4B" w:rsidRDefault="00362E4B" w:rsidP="00C158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6A1" w:rsidRDefault="007846A1" w:rsidP="00972438">
    <w:pPr>
      <w:pStyle w:val="Intestazione"/>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438" w:rsidRDefault="00AC23CB" w:rsidP="00972438">
    <w:pPr>
      <w:pStyle w:val="Intestazione"/>
      <w:jc w:val="center"/>
    </w:pPr>
    <w:r w:rsidRPr="00AC23CB">
      <w:rPr>
        <w:noProof/>
        <w:lang w:eastAsia="it-IT"/>
      </w:rPr>
      <w:drawing>
        <wp:inline distT="0" distB="0" distL="0" distR="0">
          <wp:extent cx="1257300" cy="1194435"/>
          <wp:effectExtent l="0" t="0" r="0" b="0"/>
          <wp:docPr id="2" name="Immagine 2" descr="S:\06 - MATERIALE STAMPA\2017\congresso SIUrO Napoli 20-22 april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06 - MATERIALE STAMPA\2017\congresso SIUrO Napoli 20-22 aprile\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1703" cy="1198618"/>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248FF"/>
    <w:multiLevelType w:val="hybridMultilevel"/>
    <w:tmpl w:val="5664B8B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7AF5CC8"/>
    <w:multiLevelType w:val="hybridMultilevel"/>
    <w:tmpl w:val="C414DAE8"/>
    <w:lvl w:ilvl="0" w:tplc="67C0A17C">
      <w:start w:val="1"/>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0CF7CE6"/>
    <w:multiLevelType w:val="hybridMultilevel"/>
    <w:tmpl w:val="B58441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AAA75E6"/>
    <w:multiLevelType w:val="hybridMultilevel"/>
    <w:tmpl w:val="AA00653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63C69F0"/>
    <w:multiLevelType w:val="multilevel"/>
    <w:tmpl w:val="1FE4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283"/>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2"/>
  </w:compat>
  <w:rsids>
    <w:rsidRoot w:val="00C1582D"/>
    <w:rsid w:val="00002C58"/>
    <w:rsid w:val="00003B81"/>
    <w:rsid w:val="000250C1"/>
    <w:rsid w:val="00041730"/>
    <w:rsid w:val="000875EE"/>
    <w:rsid w:val="000E36AA"/>
    <w:rsid w:val="00131125"/>
    <w:rsid w:val="00170FFB"/>
    <w:rsid w:val="00192225"/>
    <w:rsid w:val="00204C8A"/>
    <w:rsid w:val="00221579"/>
    <w:rsid w:val="00246F76"/>
    <w:rsid w:val="002C29B1"/>
    <w:rsid w:val="002E4920"/>
    <w:rsid w:val="003040A2"/>
    <w:rsid w:val="0033044B"/>
    <w:rsid w:val="00344011"/>
    <w:rsid w:val="00362E4B"/>
    <w:rsid w:val="00384827"/>
    <w:rsid w:val="003F0370"/>
    <w:rsid w:val="00424C28"/>
    <w:rsid w:val="004318D1"/>
    <w:rsid w:val="00453385"/>
    <w:rsid w:val="004632D0"/>
    <w:rsid w:val="004E6B13"/>
    <w:rsid w:val="0050046C"/>
    <w:rsid w:val="00510466"/>
    <w:rsid w:val="00513A3F"/>
    <w:rsid w:val="00523A71"/>
    <w:rsid w:val="00564332"/>
    <w:rsid w:val="005904DD"/>
    <w:rsid w:val="005A5BCC"/>
    <w:rsid w:val="005D4D03"/>
    <w:rsid w:val="005E660F"/>
    <w:rsid w:val="005F2114"/>
    <w:rsid w:val="006110C0"/>
    <w:rsid w:val="00617812"/>
    <w:rsid w:val="00660F64"/>
    <w:rsid w:val="00664CD9"/>
    <w:rsid w:val="006B212C"/>
    <w:rsid w:val="006D1070"/>
    <w:rsid w:val="006D756B"/>
    <w:rsid w:val="0070598C"/>
    <w:rsid w:val="007559AB"/>
    <w:rsid w:val="007846A1"/>
    <w:rsid w:val="007B50D3"/>
    <w:rsid w:val="007D0F45"/>
    <w:rsid w:val="007E6270"/>
    <w:rsid w:val="007E7415"/>
    <w:rsid w:val="007F54E3"/>
    <w:rsid w:val="0080448C"/>
    <w:rsid w:val="00820556"/>
    <w:rsid w:val="008248D3"/>
    <w:rsid w:val="00842117"/>
    <w:rsid w:val="008A3595"/>
    <w:rsid w:val="008E7F4D"/>
    <w:rsid w:val="00926107"/>
    <w:rsid w:val="00943A87"/>
    <w:rsid w:val="00971DA8"/>
    <w:rsid w:val="00972438"/>
    <w:rsid w:val="009816D4"/>
    <w:rsid w:val="009D2349"/>
    <w:rsid w:val="00A87599"/>
    <w:rsid w:val="00A926B9"/>
    <w:rsid w:val="00A96272"/>
    <w:rsid w:val="00AC23CB"/>
    <w:rsid w:val="00AC44CA"/>
    <w:rsid w:val="00AD6EEA"/>
    <w:rsid w:val="00B41AF7"/>
    <w:rsid w:val="00C01B47"/>
    <w:rsid w:val="00C1582D"/>
    <w:rsid w:val="00C647E7"/>
    <w:rsid w:val="00C7543A"/>
    <w:rsid w:val="00C77953"/>
    <w:rsid w:val="00C82E6B"/>
    <w:rsid w:val="00CC3D0D"/>
    <w:rsid w:val="00CF07B2"/>
    <w:rsid w:val="00D00D46"/>
    <w:rsid w:val="00D66248"/>
    <w:rsid w:val="00D8006B"/>
    <w:rsid w:val="00DC2EA5"/>
    <w:rsid w:val="00E17B84"/>
    <w:rsid w:val="00E3135C"/>
    <w:rsid w:val="00E4519E"/>
    <w:rsid w:val="00EE0C0D"/>
    <w:rsid w:val="00EE30C7"/>
    <w:rsid w:val="00F070E7"/>
    <w:rsid w:val="00F721B6"/>
    <w:rsid w:val="00F816E2"/>
    <w:rsid w:val="00F96C7B"/>
    <w:rsid w:val="00FA39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C12A632B-E067-4133-9931-8AD9D61CF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1582D"/>
  </w:style>
  <w:style w:type="paragraph" w:styleId="Titolo1">
    <w:name w:val="heading 1"/>
    <w:basedOn w:val="Normale"/>
    <w:next w:val="Normale"/>
    <w:link w:val="Titolo1Carattere"/>
    <w:uiPriority w:val="9"/>
    <w:qFormat/>
    <w:rsid w:val="00C158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1582D"/>
    <w:rPr>
      <w:rFonts w:asciiTheme="majorHAnsi" w:eastAsiaTheme="majorEastAsia" w:hAnsiTheme="majorHAnsi" w:cstheme="majorBidi"/>
      <w:b/>
      <w:bCs/>
      <w:color w:val="365F91" w:themeColor="accent1" w:themeShade="BF"/>
      <w:sz w:val="28"/>
      <w:szCs w:val="28"/>
    </w:rPr>
  </w:style>
  <w:style w:type="character" w:styleId="Enfasigrassetto">
    <w:name w:val="Strong"/>
    <w:basedOn w:val="Carpredefinitoparagrafo"/>
    <w:uiPriority w:val="22"/>
    <w:qFormat/>
    <w:rsid w:val="00C1582D"/>
    <w:rPr>
      <w:b/>
      <w:bCs/>
    </w:rPr>
  </w:style>
  <w:style w:type="character" w:customStyle="1" w:styleId="apple-converted-space">
    <w:name w:val="apple-converted-space"/>
    <w:basedOn w:val="Carpredefinitoparagrafo"/>
    <w:rsid w:val="00C1582D"/>
  </w:style>
  <w:style w:type="paragraph" w:styleId="NormaleWeb">
    <w:name w:val="Normal (Web)"/>
    <w:basedOn w:val="Normale"/>
    <w:uiPriority w:val="99"/>
    <w:unhideWhenUsed/>
    <w:rsid w:val="00C1582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C1582D"/>
    <w:rPr>
      <w:rFonts w:ascii="Calibri" w:eastAsia="Calibri" w:hAnsi="Calibri" w:cs="Times New Roman"/>
      <w:sz w:val="20"/>
      <w:szCs w:val="20"/>
    </w:rPr>
  </w:style>
  <w:style w:type="character" w:customStyle="1" w:styleId="TestonotaapidipaginaCarattere">
    <w:name w:val="Testo nota a piè di pagina Carattere"/>
    <w:basedOn w:val="Carpredefinitoparagrafo"/>
    <w:link w:val="Testonotaapidipagina"/>
    <w:uiPriority w:val="99"/>
    <w:semiHidden/>
    <w:rsid w:val="00C1582D"/>
    <w:rPr>
      <w:rFonts w:ascii="Calibri" w:eastAsia="Calibri" w:hAnsi="Calibri" w:cs="Times New Roman"/>
      <w:sz w:val="20"/>
      <w:szCs w:val="20"/>
    </w:rPr>
  </w:style>
  <w:style w:type="character" w:styleId="Rimandonotaapidipagina">
    <w:name w:val="footnote reference"/>
    <w:uiPriority w:val="99"/>
    <w:semiHidden/>
    <w:unhideWhenUsed/>
    <w:rsid w:val="00C1582D"/>
    <w:rPr>
      <w:vertAlign w:val="superscript"/>
    </w:rPr>
  </w:style>
  <w:style w:type="character" w:customStyle="1" w:styleId="Enfasicorsivo1">
    <w:name w:val="Enfasi (corsivo)1"/>
    <w:basedOn w:val="Carpredefinitoparagrafo"/>
    <w:rsid w:val="00C1582D"/>
    <w:rPr>
      <w:i/>
    </w:rPr>
  </w:style>
  <w:style w:type="character" w:customStyle="1" w:styleId="Enfasigrassetto1">
    <w:name w:val="Enfasi (grassetto)1"/>
    <w:basedOn w:val="Carpredefinitoparagrafo"/>
    <w:rsid w:val="00C1582D"/>
    <w:rPr>
      <w:b/>
    </w:rPr>
  </w:style>
  <w:style w:type="paragraph" w:styleId="Paragrafoelenco">
    <w:name w:val="List Paragraph"/>
    <w:basedOn w:val="Normale"/>
    <w:uiPriority w:val="34"/>
    <w:qFormat/>
    <w:rsid w:val="00C1582D"/>
    <w:pPr>
      <w:ind w:left="720"/>
      <w:contextualSpacing/>
    </w:pPr>
    <w:rPr>
      <w:rFonts w:ascii="Calibri" w:eastAsia="Calibri" w:hAnsi="Calibri" w:cs="Times New Roman"/>
    </w:rPr>
  </w:style>
  <w:style w:type="paragraph" w:styleId="Intestazione">
    <w:name w:val="header"/>
    <w:basedOn w:val="Normale"/>
    <w:link w:val="IntestazioneCarattere"/>
    <w:uiPriority w:val="99"/>
    <w:unhideWhenUsed/>
    <w:rsid w:val="007E62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6270"/>
  </w:style>
  <w:style w:type="paragraph" w:styleId="Pidipagina">
    <w:name w:val="footer"/>
    <w:basedOn w:val="Normale"/>
    <w:link w:val="PidipaginaCarattere"/>
    <w:uiPriority w:val="99"/>
    <w:unhideWhenUsed/>
    <w:rsid w:val="007E62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6270"/>
  </w:style>
  <w:style w:type="paragraph" w:styleId="Testofumetto">
    <w:name w:val="Balloon Text"/>
    <w:basedOn w:val="Normale"/>
    <w:link w:val="TestofumettoCarattere"/>
    <w:uiPriority w:val="99"/>
    <w:semiHidden/>
    <w:unhideWhenUsed/>
    <w:rsid w:val="0097243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24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7F16C9-0F6B-4179-9DA0-9A6FA8E23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4</Pages>
  <Words>1592</Words>
  <Characters>9077</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dc:creator>
  <cp:keywords/>
  <dc:description/>
  <cp:lastModifiedBy>fabrizio</cp:lastModifiedBy>
  <cp:revision>82</cp:revision>
  <dcterms:created xsi:type="dcterms:W3CDTF">2015-05-28T13:21:00Z</dcterms:created>
  <dcterms:modified xsi:type="dcterms:W3CDTF">2017-04-18T14:21:00Z</dcterms:modified>
</cp:coreProperties>
</file>