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2438" w:rsidRDefault="00972438" w:rsidP="00C1582D">
      <w:pPr>
        <w:autoSpaceDE w:val="0"/>
        <w:autoSpaceDN w:val="0"/>
        <w:adjustRightInd w:val="0"/>
        <w:spacing w:after="0" w:line="240" w:lineRule="auto"/>
        <w:jc w:val="center"/>
        <w:rPr>
          <w:rFonts w:ascii="Times New Roman" w:hAnsi="Times New Roman" w:cs="Times New Roman"/>
          <w:b/>
          <w:bCs/>
          <w:sz w:val="28"/>
          <w:szCs w:val="28"/>
        </w:rPr>
      </w:pPr>
    </w:p>
    <w:p w:rsidR="00EA5E0E" w:rsidRPr="00EA5E0E" w:rsidRDefault="00EA5E0E" w:rsidP="00EA5E0E">
      <w:pPr>
        <w:autoSpaceDE w:val="0"/>
        <w:autoSpaceDN w:val="0"/>
        <w:adjustRightInd w:val="0"/>
        <w:spacing w:after="0" w:line="240" w:lineRule="auto"/>
        <w:jc w:val="center"/>
        <w:rPr>
          <w:rFonts w:ascii="Times New Roman" w:hAnsi="Times New Roman"/>
          <w:b/>
          <w:bCs/>
          <w:sz w:val="24"/>
          <w:szCs w:val="24"/>
        </w:rPr>
      </w:pPr>
    </w:p>
    <w:p w:rsidR="00EA5E0E" w:rsidRPr="00EA5E0E" w:rsidRDefault="00EA5E0E" w:rsidP="00EA5E0E">
      <w:pPr>
        <w:autoSpaceDE w:val="0"/>
        <w:autoSpaceDN w:val="0"/>
        <w:adjustRightInd w:val="0"/>
        <w:spacing w:after="0" w:line="240" w:lineRule="auto"/>
        <w:jc w:val="center"/>
        <w:rPr>
          <w:rFonts w:ascii="Times New Roman" w:hAnsi="Times New Roman"/>
          <w:b/>
          <w:bCs/>
          <w:sz w:val="28"/>
          <w:szCs w:val="28"/>
        </w:rPr>
      </w:pPr>
      <w:r w:rsidRPr="00EA5E0E">
        <w:rPr>
          <w:rFonts w:ascii="Times New Roman" w:hAnsi="Times New Roman"/>
          <w:b/>
          <w:bCs/>
          <w:sz w:val="28"/>
          <w:szCs w:val="28"/>
        </w:rPr>
        <w:t>IL TUMORE DELLA PROSTATA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Il carcinoma prostatico nell’ultimo decennio è diventato il tumore più frequente nella popolazione maschile dei Paesi occidentali. Questo fenomeno, più che per la presenza di fattori di rischio, è dovuto alla maggiore probabilità di diagnosticare la malattia, che è presente in forma latente nel 15-30% degli over 50 e in circa il 70% degli ottantenni.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Incidenza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Il cancro della prostata rappresenta circa il 20% di tutti i tumori diagnosticati a partire dai 50 anni di età. L’incidenza della malattia ha mostrato negli ultimi anni una sostanziale stabilità, dopo la crescita registrata tra il 1998 e il 2003, con la maggiore diffusione del test del PSA. Nel 2017 i nuovi casi sono stati 34.800, dei quali circa un terzo in classe di rischio bassa (e cioè non aggressivi).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Mortalità</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Nel 2014 si sono osservati 7.174 decessi per cancro prostatico (ISTAT). Nella quasi totalità dei casi riguardano gli over70. Si tratta comunque di una causa di morte in costante, anche se moderata, diminuzione (–2,6% per anno) da circa un decennio.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Sopravvivenza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La sopravvivenza dei pazienti con cancro alla prostata è attualmente del 91,4% a 5 anni dalla diagnosi. Si tratta di un dato più alto rispetto alla media europea (83,4%).</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Prevalenza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In Italia si stima siano presenti circa 484.000 persone con diagnosi di tumore prostatico: circa il 26% dei maschi con cancro e quasi il 10% di tutti i pazienti (tra maschi e femmine) del Paese. Il 55% di queste diagnosi è stato formulato da meno di 5 anni, il 14% da oltre 10 e, data la biologia della malattia, la maggior parte dei casi viene riscontrata nell’età più avanzata (6.811 casi ogni 100.000 ultrasettantacinquenni).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 </w:t>
      </w: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Sintomi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Il cancro della prostata non presenta sintomi specifici. I disturbi che si possono riscontrare sono gli stessi che si accompagnano all’iperplasia prostatica benigna come: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indebolimento del getto delle urine;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frequente e incontenibile necessità di urinare, sia di giorno che di notte;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possibile dolore alla minzione;</w:t>
      </w:r>
    </w:p>
    <w:p w:rsid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presenza di sangue nelle urine (in alcune occasioni).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 sintomi compaiono solo se la neoplasia è abbastanza voluminosa da esercitare infiltrazione di uretra o vescica. È difficile quindi che siano presenti se la malattia è in stadio iniziale e di piccole dimensioni. Il tumore cresce spesso lentamente; per tale motivo i sintomi possono rimanere assenti per molti anni.</w:t>
      </w:r>
      <w:r>
        <w:rPr>
          <w:rFonts w:ascii="Times New Roman" w:hAnsi="Times New Roman"/>
          <w:bCs/>
          <w:sz w:val="24"/>
          <w:szCs w:val="24"/>
        </w:rPr>
        <w:t xml:space="preserve"> </w:t>
      </w:r>
      <w:r w:rsidRPr="00EA5E0E">
        <w:rPr>
          <w:rFonts w:ascii="Times New Roman" w:hAnsi="Times New Roman"/>
          <w:bCs/>
          <w:sz w:val="24"/>
          <w:szCs w:val="24"/>
        </w:rPr>
        <w:t>Nei pazienti che esordiscono con malattia metastatica e quelli che la sviluppano manifestano spesso sintomatologia dolorosa ossea.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
          <w:bCs/>
          <w:sz w:val="24"/>
          <w:szCs w:val="24"/>
        </w:rPr>
      </w:pPr>
    </w:p>
    <w:p w:rsidR="00EA5E0E" w:rsidRDefault="00EA5E0E" w:rsidP="00EA5E0E">
      <w:pPr>
        <w:autoSpaceDE w:val="0"/>
        <w:autoSpaceDN w:val="0"/>
        <w:adjustRightInd w:val="0"/>
        <w:spacing w:after="0" w:line="240" w:lineRule="auto"/>
        <w:jc w:val="both"/>
        <w:rPr>
          <w:rFonts w:ascii="Times New Roman" w:hAnsi="Times New Roman"/>
          <w:b/>
          <w:bCs/>
          <w:sz w:val="24"/>
          <w:szCs w:val="24"/>
        </w:rPr>
      </w:pPr>
    </w:p>
    <w:p w:rsidR="00EA5E0E" w:rsidRDefault="00EA5E0E" w:rsidP="00EA5E0E">
      <w:pPr>
        <w:autoSpaceDE w:val="0"/>
        <w:autoSpaceDN w:val="0"/>
        <w:adjustRightInd w:val="0"/>
        <w:spacing w:after="0" w:line="240" w:lineRule="auto"/>
        <w:jc w:val="both"/>
        <w:rPr>
          <w:rFonts w:ascii="Times New Roman" w:hAnsi="Times New Roman"/>
          <w:b/>
          <w:bCs/>
          <w:sz w:val="24"/>
          <w:szCs w:val="24"/>
        </w:rPr>
      </w:pPr>
    </w:p>
    <w:p w:rsidR="008C1008" w:rsidRDefault="008C1008" w:rsidP="00EA5E0E">
      <w:pPr>
        <w:autoSpaceDE w:val="0"/>
        <w:autoSpaceDN w:val="0"/>
        <w:adjustRightInd w:val="0"/>
        <w:spacing w:after="0" w:line="240" w:lineRule="auto"/>
        <w:jc w:val="both"/>
        <w:rPr>
          <w:rFonts w:ascii="Times New Roman" w:hAnsi="Times New Roman"/>
          <w:b/>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Diagnosi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La maggioranza dei carcinomi della prostata è diagnosticata in fase asintomatica attraverso lo “screening spontaneo” con il dosaggio del Psa e l’esame digito rettale</w:t>
      </w:r>
      <w:r>
        <w:rPr>
          <w:rFonts w:ascii="Times New Roman" w:hAnsi="Times New Roman"/>
          <w:bCs/>
          <w:sz w:val="24"/>
          <w:szCs w:val="24"/>
        </w:rPr>
        <w:t>.</w:t>
      </w:r>
      <w:r w:rsidRPr="00EA5E0E">
        <w:rPr>
          <w:rFonts w:ascii="Times New Roman" w:hAnsi="Times New Roman"/>
          <w:bCs/>
          <w:sz w:val="24"/>
          <w:szCs w:val="24"/>
        </w:rPr>
        <w:t xml:space="preserve">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 2 studi randomizzati sullo screening del carcinoma prostatico mediante il Psa hanno dato risultati opposti. Lo studio americano non ha evidenziato benefici, mentre lo studio europeo ha dimostrato benefici ma a prezzo di una eccessiva overdiagnosis e conseguentemente ad un eccessivo overtreatment. Per tale motivo oggi non viene consigliato un programma di screening ma piuttosto un atteggiamento di diagnosi precoce effettuata in pazienti sintomatici per iPb</w:t>
      </w:r>
      <w:r>
        <w:rPr>
          <w:rFonts w:ascii="Times New Roman" w:hAnsi="Times New Roman"/>
          <w:bCs/>
          <w:sz w:val="24"/>
          <w:szCs w:val="24"/>
        </w:rPr>
        <w:t xml:space="preserve"> nelle fasce di età stabilite (s</w:t>
      </w:r>
      <w:r w:rsidRPr="00EA5E0E">
        <w:rPr>
          <w:rFonts w:ascii="Times New Roman" w:hAnsi="Times New Roman"/>
          <w:bCs/>
          <w:sz w:val="24"/>
          <w:szCs w:val="24"/>
        </w:rPr>
        <w:t>opra 50 anni in assenza di familiarità, sopra i 40 anni in presenza di familiarità)</w:t>
      </w:r>
      <w:r>
        <w:rPr>
          <w:rFonts w:ascii="Times New Roman" w:hAnsi="Times New Roman"/>
          <w:bCs/>
          <w:sz w:val="24"/>
          <w:szCs w:val="24"/>
        </w:rPr>
        <w:t xml:space="preserve"> </w:t>
      </w:r>
      <w:r w:rsidRPr="00EA5E0E">
        <w:rPr>
          <w:rFonts w:ascii="Times New Roman" w:hAnsi="Times New Roman"/>
          <w:bCs/>
          <w:sz w:val="24"/>
          <w:szCs w:val="24"/>
        </w:rPr>
        <w:t>e correttamente informati sul significato del Psa e su quello che è necessario fare in caso di valore fuori della norma.</w:t>
      </w:r>
      <w:r>
        <w:rPr>
          <w:rFonts w:ascii="Times New Roman" w:hAnsi="Times New Roman"/>
          <w:bCs/>
          <w:sz w:val="24"/>
          <w:szCs w:val="24"/>
        </w:rPr>
        <w:t xml:space="preserve"> </w:t>
      </w:r>
      <w:r w:rsidRPr="00EA5E0E">
        <w:rPr>
          <w:rFonts w:ascii="Times New Roman" w:hAnsi="Times New Roman"/>
          <w:bCs/>
          <w:sz w:val="24"/>
          <w:szCs w:val="24"/>
        </w:rPr>
        <w:t xml:space="preserve">Va ricordato che il PSA non è un marcatore tumorale ma un indicatore del benessere della prostata. Si può elevare infatti in presenza di infezioni/infiammazioni di un tumore ma anche dell’iperplasia benigna prostatica.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L’esplorazione rettale è un esame semplice grazie al quale l’urologo può individuare la presenza di noduli prostatici sospetti.  Se il valore del PSA e/o l’esplorazione rettale danno luogo ad un sospetto di neoplasia prostatica, si consiglia di effettuare una biopsia della prostata eco guidata con prelievi multipli. Oggi la risonanza magnetica multiparametrica si presenta come procedura in grado di evidenziare i tumori clinicamente significativi, questa procedura attualmente trova indicazione per decidere se effettuare una seconda biopsia dopo una prima biopsia negativa in presenza di elevazione costante del Ps</w:t>
      </w:r>
      <w:r>
        <w:rPr>
          <w:rFonts w:ascii="Times New Roman" w:hAnsi="Times New Roman"/>
          <w:bCs/>
          <w:sz w:val="24"/>
          <w:szCs w:val="24"/>
        </w:rPr>
        <w:t>s</w:t>
      </w:r>
      <w:r w:rsidRPr="00EA5E0E">
        <w:rPr>
          <w:rFonts w:ascii="Times New Roman" w:hAnsi="Times New Roman"/>
          <w:bCs/>
          <w:sz w:val="24"/>
          <w:szCs w:val="24"/>
        </w:rPr>
        <w:t>.</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Prevenzione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Le cause reali del carcinoma prostatico rimangono ancora sconosciute. È possibile però individuare alcuni potenziali fattori di rischio che aumentano la probabilità di ammalarsi, anche se non sono direttamente responsabili dell’insorgenza della patologia.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È provato come alcuni fattori dietetici e comportamentali, oltre all’età, possano essere associati alla malattia: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 alimentazione, una dieta ricca di grassi, soprattutto saturi come fritti e insaccati ed eccessivo consumo di carne rossa e latticini (quindi anche di calcio), aumenterebbero l’incidenza. La dieta vegetariana sembra invece svolgere un’azione protettiva. Andrebbero privilegiati in particolare gli ortaggi gialli e verdi, l’olio d’oliva e la frutta. Consigliabile il consumo di vitamine A, D, E, ma solo attraverso la dieta.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sedentarietà;</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sostanze chimiche, come cadmio, alcuni fertilizzanti e coloranti;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fattori ereditari, anche se in una minoranza dei casi (&lt;15%), gli uomini con almeno 3 parenti (fratello,padre, zio,nonno con carcinoma prostatico  o madre con carcinoma mammario) , oppure  2   (Nonno,padre, zio o fratello) che hanno sviluppato il tumore in età giovanile ( &lt;65 anni) presentano infatti un maggiore rischio di ammalarsi. È bene quindi che effettuino controlli già a partire dai 40-45 anni;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fattori genetici, quali BRAC1 e BRAC2 (come nel cancro della mammella).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bookmarkStart w:id="0" w:name="_GoBack"/>
      <w:bookmarkEnd w:id="0"/>
    </w:p>
    <w:p w:rsidR="00EA5E0E" w:rsidRPr="00EA5E0E" w:rsidRDefault="00EA5E0E" w:rsidP="00EA5E0E">
      <w:pPr>
        <w:autoSpaceDE w:val="0"/>
        <w:autoSpaceDN w:val="0"/>
        <w:adjustRightInd w:val="0"/>
        <w:spacing w:after="0" w:line="240" w:lineRule="auto"/>
        <w:jc w:val="center"/>
        <w:rPr>
          <w:rFonts w:ascii="Times New Roman" w:hAnsi="Times New Roman"/>
          <w:b/>
          <w:bCs/>
          <w:sz w:val="28"/>
          <w:szCs w:val="28"/>
        </w:rPr>
      </w:pPr>
      <w:r w:rsidRPr="00EA5E0E">
        <w:rPr>
          <w:rFonts w:ascii="Times New Roman" w:hAnsi="Times New Roman"/>
          <w:b/>
          <w:bCs/>
          <w:sz w:val="28"/>
          <w:szCs w:val="28"/>
        </w:rPr>
        <w:t>IL TUMORE DEL TESTICOLO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E’ una forma rara di cancro che si manifesta più comunemente nei giovani maschi tra i 15 e i 35 anni.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Quasi tutti i tumori testicolari (95%) si originano nelle cellule che producono gli spermatozoi, e sono per questo chiamati germinali (seminomi e non seminomi). I seminomi sono i più numerosi. Si distinguono a loro volta in seminomi cosiddetti classici (tipici) e in spermatocitici. Complessivamente rappresentano il 40-50% dei tumori testicolari, ma quelli di tipo classico costituiscono più del 95% dei seminomi e si sviluppano nei maschi più giovani (tra i 25 e i 45 anni), mentre lo spermatocitico è più raro e si manifesta in età avanzata (oltre 65 anni), cresce più lentamente e rimane in genere localizzato al testicolo. I tumori non seminomi corrispondono alla forma tumorale dei tessuti nelle prime fasi dello sviluppo embrionale. Colpiscono i maschi tra i 20 e i 30 anni. Esistono poi, anche forme miste (definiti tumori seminomi/non seminomi), che vengono in genere trattati come i non seminomi.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Il restante 5 % delle neoplasie è costituita da tumori non germinali. I principali tipi sono i tumori delle cellule di Leydig e delle cellule del Sertoli. I primi derivano dalle cellule deputate alla produzione di ormoni maschili e si osservano in genere nei bambini tra i 5 e i 10 anni, talvolta anche negli adulti. La maggior parte di questi tumori è benigna: non si diffonde al di fuori del testicolo ed è trattata definitivamente con la chirurgia. I tumori delle cellule del Sertoli e gli androblastomi, invece, derivano da cellule che sostengono e nutrono le cellule che producono lo sperma.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 xml:space="preserve">Incidenza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I carcinomi del testicolo registrano circa 2.500 nuovi caso l’anno. Nella fascia d’età fino ai 50 anni costituiscono la più frequente malattia oncologica.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Mortalità</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Nel 2013 i decessi per tumore del testicolo in Italia è pari allo 0,1% dei decessi per tumore maschile.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Sopravvivenza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La sopravvivenza a 5 anni è pari al 91% in linea con la media europea.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Prevalenza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Circa 53mila italiani vivono con una diagnosi.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Sintomi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Il carcinoma ai testicoli non presenta sintomi chiari e precoci, per questo motivo possono passare anche diversi mesi prima di giungere a una diagnosi precisa. Sintomi comuni sono: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rigonfiamento del testicolo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perdita di volume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sensazione di pesantezza nello scroto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dolore sordo nella parte inferiore dell’addome o all’inguine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improvvisa formazione di liquido nello scroto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dolore o senso di disagio al testicolo o allo scroto</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 sintomi legati alle metastasi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ginecomastia</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Diagnosi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 xml:space="preserve">L’esame clinico è fondamentale: nei casi sospetti il medico procederà alla palpazione del testicolo (esame fisico) e all’anamnesi. Il paziente sarà poi sottoposto a un’ecografia testicolare, che permette di distinguere una forma cistica (in genere benigna) da una solida. È possibile esaminare anche eventuali marcatori tumorali nel siero, come alfa-fetoproteina (AFP) e beta-gonadotropina corionica umana (beta-hCG) o lattato deidrogenasi (LDH). Se si sospetta il tumore si dovrà eseguire l’orchiectomia inguinale esplorativa, che prevede la rimozione del testicolo attraverso un’incisione all’inguine. Un campione di tessuto del testicolo sarà poi analizzato per determinare l’origine del tumore. La biopsia non è consigliata prima dell’asportazione del testicolo, perché il rischio di diffondere il tumore è piuttosto alto. </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
          <w:bCs/>
          <w:sz w:val="24"/>
          <w:szCs w:val="24"/>
        </w:rPr>
      </w:pPr>
      <w:r w:rsidRPr="00EA5E0E">
        <w:rPr>
          <w:rFonts w:ascii="Times New Roman" w:hAnsi="Times New Roman"/>
          <w:b/>
          <w:bCs/>
          <w:sz w:val="24"/>
          <w:szCs w:val="24"/>
        </w:rPr>
        <w:t>Fattori di rischio e prevenzione</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I pazienti con criptorchidismo (testicolo che non discende nello scroto durante lo sviluppo) hanno un rischio da 10 a 40 volte superiore di sviluppare un cancro (di tipo seminoma) rispetto ai maschi sani. Se l’intervento di orchidopessia (fissazione chirurgica del testicolo nella borsa scrotale) è stato eseguito prima dei 6 anni, il rischio si riduce, mentre aumenta se parenti di primo grado hanno ricevuto diagnosi di tumore del testicolo. Secondo alcuni studi epidemiologici, l’utilizzo degli estrogeni durante la gravidanza può aumentare la predisposizione della neoplasia nel nascituro; anche l’abuso di alcool e sedativi nella madre è un altro importante elemento di rischio. Non è mai stato dimostrato, con certezza che i traumi a livello testicolare possano causare direttamente il cancro; spesso però è proprio l’evento traumatico che consente di arrivare alla diagnosi.</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r w:rsidRPr="00EA5E0E">
        <w:rPr>
          <w:rFonts w:ascii="Times New Roman" w:hAnsi="Times New Roman"/>
          <w:bCs/>
          <w:sz w:val="24"/>
          <w:szCs w:val="24"/>
        </w:rPr>
        <w:t>Per la prevenzione, è molto consigliata l’autopalpazione del testicolo a partire dalla pubertà. Nei maschi con storia di criptorchidismo, atrofia testicolare (perdita della funzione testicolare), precedente tumore testicolare o familiari di primo grado affetti dalla malattia, è indicata anche una visita urologica specialistica annuale</w:t>
      </w:r>
      <w:r w:rsidRPr="00EA5E0E">
        <w:rPr>
          <w:rFonts w:ascii="Times New Roman" w:hAnsi="Times New Roman"/>
          <w:bCs/>
          <w:sz w:val="24"/>
          <w:szCs w:val="24"/>
          <w:vertAlign w:val="superscript"/>
        </w:rPr>
        <w:t>1</w:t>
      </w:r>
      <w:r w:rsidRPr="00EA5E0E">
        <w:rPr>
          <w:rFonts w:ascii="Times New Roman" w:hAnsi="Times New Roman"/>
          <w:bCs/>
          <w:sz w:val="24"/>
          <w:szCs w:val="24"/>
        </w:rPr>
        <w:t>.</w:t>
      </w: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EA5E0E" w:rsidRPr="00EA5E0E" w:rsidRDefault="00EA5E0E" w:rsidP="00EA5E0E">
      <w:pPr>
        <w:autoSpaceDE w:val="0"/>
        <w:autoSpaceDN w:val="0"/>
        <w:adjustRightInd w:val="0"/>
        <w:spacing w:after="0" w:line="240" w:lineRule="auto"/>
        <w:jc w:val="both"/>
        <w:rPr>
          <w:rFonts w:ascii="Times New Roman" w:hAnsi="Times New Roman"/>
          <w:bCs/>
          <w:sz w:val="24"/>
          <w:szCs w:val="24"/>
        </w:rPr>
      </w:pPr>
    </w:p>
    <w:p w:rsidR="008A3595" w:rsidRPr="00EA5E0E" w:rsidRDefault="00EA5E0E" w:rsidP="00EA5E0E">
      <w:pPr>
        <w:autoSpaceDE w:val="0"/>
        <w:autoSpaceDN w:val="0"/>
        <w:adjustRightInd w:val="0"/>
        <w:spacing w:after="0" w:line="240" w:lineRule="auto"/>
        <w:jc w:val="both"/>
        <w:rPr>
          <w:rFonts w:ascii="Times New Roman" w:hAnsi="Times New Roman" w:cs="Times New Roman"/>
          <w:sz w:val="24"/>
          <w:szCs w:val="24"/>
          <w:shd w:val="clear" w:color="auto" w:fill="FFFFFF"/>
        </w:rPr>
      </w:pPr>
      <w:r w:rsidRPr="00EA5E0E">
        <w:rPr>
          <w:rFonts w:ascii="Times New Roman" w:hAnsi="Times New Roman"/>
          <w:bCs/>
          <w:sz w:val="24"/>
          <w:szCs w:val="24"/>
          <w:vertAlign w:val="superscript"/>
        </w:rPr>
        <w:t>1</w:t>
      </w:r>
      <w:r>
        <w:rPr>
          <w:rFonts w:ascii="Times New Roman" w:hAnsi="Times New Roman"/>
          <w:bCs/>
          <w:sz w:val="24"/>
          <w:szCs w:val="24"/>
        </w:rPr>
        <w:t>A</w:t>
      </w:r>
      <w:r w:rsidRPr="00EA5E0E">
        <w:rPr>
          <w:rFonts w:ascii="Times New Roman" w:hAnsi="Times New Roman"/>
          <w:bCs/>
          <w:sz w:val="24"/>
          <w:szCs w:val="24"/>
        </w:rPr>
        <w:t>IOM-AIRTUM-Fondazione AIOM I numeri del cancro in Italia 2017</w:t>
      </w:r>
    </w:p>
    <w:sectPr w:rsidR="008A3595" w:rsidRPr="00EA5E0E" w:rsidSect="00972438">
      <w:headerReference w:type="default" r:id="rId8"/>
      <w:headerReference w:type="first" r:id="rId9"/>
      <w:pgSz w:w="11906" w:h="16838"/>
      <w:pgMar w:top="1417" w:right="1134" w:bottom="1134" w:left="1134" w:header="426"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5403" w:rsidRDefault="005B5403" w:rsidP="00C1582D">
      <w:pPr>
        <w:spacing w:after="0" w:line="240" w:lineRule="auto"/>
      </w:pPr>
      <w:r>
        <w:separator/>
      </w:r>
    </w:p>
  </w:endnote>
  <w:endnote w:type="continuationSeparator" w:id="0">
    <w:p w:rsidR="005B5403" w:rsidRDefault="005B5403" w:rsidP="00C158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5403" w:rsidRDefault="005B5403" w:rsidP="00C1582D">
      <w:pPr>
        <w:spacing w:after="0" w:line="240" w:lineRule="auto"/>
      </w:pPr>
      <w:r>
        <w:separator/>
      </w:r>
    </w:p>
  </w:footnote>
  <w:footnote w:type="continuationSeparator" w:id="0">
    <w:p w:rsidR="005B5403" w:rsidRDefault="005B5403" w:rsidP="00C158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46A1" w:rsidRDefault="007846A1" w:rsidP="00972438">
    <w:pPr>
      <w:pStyle w:val="Intestazione"/>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2438" w:rsidRDefault="006D1A1D" w:rsidP="00972438">
    <w:pPr>
      <w:pStyle w:val="Intestazione"/>
      <w:jc w:val="center"/>
    </w:pPr>
    <w:r>
      <w:rPr>
        <w:noProof/>
        <w:lang w:eastAsia="it-IT"/>
      </w:rPr>
      <w:drawing>
        <wp:inline distT="0" distB="0" distL="0" distR="0">
          <wp:extent cx="4189863" cy="103797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14802" cy="10441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248FF"/>
    <w:multiLevelType w:val="hybridMultilevel"/>
    <w:tmpl w:val="5664B8B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7AF5CC8"/>
    <w:multiLevelType w:val="hybridMultilevel"/>
    <w:tmpl w:val="C414DAE8"/>
    <w:lvl w:ilvl="0" w:tplc="67C0A17C">
      <w:start w:val="1"/>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0CF7CE6"/>
    <w:multiLevelType w:val="hybridMultilevel"/>
    <w:tmpl w:val="B5844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AAA75E6"/>
    <w:multiLevelType w:val="hybridMultilevel"/>
    <w:tmpl w:val="AA00653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663C69F0"/>
    <w:multiLevelType w:val="multilevel"/>
    <w:tmpl w:val="1FE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08"/>
  <w:hyphenationZone w:val="283"/>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C1582D"/>
    <w:rsid w:val="00002C58"/>
    <w:rsid w:val="00003B81"/>
    <w:rsid w:val="000250C1"/>
    <w:rsid w:val="00041730"/>
    <w:rsid w:val="000875EE"/>
    <w:rsid w:val="000C2F03"/>
    <w:rsid w:val="000E36AA"/>
    <w:rsid w:val="00131125"/>
    <w:rsid w:val="0014290C"/>
    <w:rsid w:val="00170FFB"/>
    <w:rsid w:val="00192225"/>
    <w:rsid w:val="00204C8A"/>
    <w:rsid w:val="00221579"/>
    <w:rsid w:val="00246F76"/>
    <w:rsid w:val="002C29B1"/>
    <w:rsid w:val="002E4920"/>
    <w:rsid w:val="003040A2"/>
    <w:rsid w:val="0033044B"/>
    <w:rsid w:val="00344011"/>
    <w:rsid w:val="00362E4B"/>
    <w:rsid w:val="00384827"/>
    <w:rsid w:val="003F0370"/>
    <w:rsid w:val="00424C28"/>
    <w:rsid w:val="004318D1"/>
    <w:rsid w:val="00453385"/>
    <w:rsid w:val="004632D0"/>
    <w:rsid w:val="004E6B13"/>
    <w:rsid w:val="0050046C"/>
    <w:rsid w:val="00510466"/>
    <w:rsid w:val="00513A3F"/>
    <w:rsid w:val="00523A71"/>
    <w:rsid w:val="00564332"/>
    <w:rsid w:val="005904DD"/>
    <w:rsid w:val="005A5BCC"/>
    <w:rsid w:val="005B5403"/>
    <w:rsid w:val="005D4D03"/>
    <w:rsid w:val="005E660F"/>
    <w:rsid w:val="005F2114"/>
    <w:rsid w:val="006110C0"/>
    <w:rsid w:val="00617812"/>
    <w:rsid w:val="00660F64"/>
    <w:rsid w:val="00664CD9"/>
    <w:rsid w:val="006B212C"/>
    <w:rsid w:val="006D1070"/>
    <w:rsid w:val="006D1A1D"/>
    <w:rsid w:val="006D756B"/>
    <w:rsid w:val="0070598C"/>
    <w:rsid w:val="007559AB"/>
    <w:rsid w:val="007846A1"/>
    <w:rsid w:val="007B50D3"/>
    <w:rsid w:val="007D0F45"/>
    <w:rsid w:val="007E6270"/>
    <w:rsid w:val="007E7415"/>
    <w:rsid w:val="007F54E3"/>
    <w:rsid w:val="0080448C"/>
    <w:rsid w:val="00820556"/>
    <w:rsid w:val="008248D3"/>
    <w:rsid w:val="00842117"/>
    <w:rsid w:val="008A3595"/>
    <w:rsid w:val="008C1008"/>
    <w:rsid w:val="008E7F4D"/>
    <w:rsid w:val="00926107"/>
    <w:rsid w:val="00943A87"/>
    <w:rsid w:val="00971DA8"/>
    <w:rsid w:val="00972438"/>
    <w:rsid w:val="009816D4"/>
    <w:rsid w:val="009D2349"/>
    <w:rsid w:val="009F13E3"/>
    <w:rsid w:val="00A87599"/>
    <w:rsid w:val="00A926B9"/>
    <w:rsid w:val="00A96272"/>
    <w:rsid w:val="00AC23CB"/>
    <w:rsid w:val="00AC44CA"/>
    <w:rsid w:val="00AD6EEA"/>
    <w:rsid w:val="00B41AF7"/>
    <w:rsid w:val="00B447F5"/>
    <w:rsid w:val="00C01B47"/>
    <w:rsid w:val="00C06B88"/>
    <w:rsid w:val="00C1582D"/>
    <w:rsid w:val="00C647E7"/>
    <w:rsid w:val="00C7543A"/>
    <w:rsid w:val="00C77953"/>
    <w:rsid w:val="00C82E6B"/>
    <w:rsid w:val="00CB249D"/>
    <w:rsid w:val="00CC3D0D"/>
    <w:rsid w:val="00CF07B2"/>
    <w:rsid w:val="00D00D46"/>
    <w:rsid w:val="00D66248"/>
    <w:rsid w:val="00D8006B"/>
    <w:rsid w:val="00DC2EA5"/>
    <w:rsid w:val="00E17B84"/>
    <w:rsid w:val="00E3135C"/>
    <w:rsid w:val="00E4519E"/>
    <w:rsid w:val="00E55182"/>
    <w:rsid w:val="00E96736"/>
    <w:rsid w:val="00EA5E0E"/>
    <w:rsid w:val="00EE0C0D"/>
    <w:rsid w:val="00EE30C7"/>
    <w:rsid w:val="00F070E7"/>
    <w:rsid w:val="00F721B6"/>
    <w:rsid w:val="00F816E2"/>
    <w:rsid w:val="00F96C7B"/>
    <w:rsid w:val="00FA3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C12A632B-E067-4133-9931-8AD9D61CF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C1582D"/>
  </w:style>
  <w:style w:type="paragraph" w:styleId="Titolo1">
    <w:name w:val="heading 1"/>
    <w:basedOn w:val="Normale"/>
    <w:next w:val="Normale"/>
    <w:link w:val="Titolo1Carattere"/>
    <w:uiPriority w:val="9"/>
    <w:qFormat/>
    <w:rsid w:val="00C1582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1582D"/>
    <w:rPr>
      <w:rFonts w:asciiTheme="majorHAnsi" w:eastAsiaTheme="majorEastAsia" w:hAnsiTheme="majorHAnsi" w:cstheme="majorBidi"/>
      <w:b/>
      <w:bCs/>
      <w:color w:val="365F91" w:themeColor="accent1" w:themeShade="BF"/>
      <w:sz w:val="28"/>
      <w:szCs w:val="28"/>
    </w:rPr>
  </w:style>
  <w:style w:type="character" w:styleId="Enfasigrassetto">
    <w:name w:val="Strong"/>
    <w:basedOn w:val="Carpredefinitoparagrafo"/>
    <w:uiPriority w:val="22"/>
    <w:qFormat/>
    <w:rsid w:val="00C1582D"/>
    <w:rPr>
      <w:b/>
      <w:bCs/>
    </w:rPr>
  </w:style>
  <w:style w:type="character" w:customStyle="1" w:styleId="apple-converted-space">
    <w:name w:val="apple-converted-space"/>
    <w:basedOn w:val="Carpredefinitoparagrafo"/>
    <w:rsid w:val="00C1582D"/>
  </w:style>
  <w:style w:type="paragraph" w:styleId="NormaleWeb">
    <w:name w:val="Normal (Web)"/>
    <w:basedOn w:val="Normale"/>
    <w:uiPriority w:val="99"/>
    <w:unhideWhenUsed/>
    <w:rsid w:val="00C1582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estonotaapidipagina">
    <w:name w:val="footnote text"/>
    <w:basedOn w:val="Normale"/>
    <w:link w:val="TestonotaapidipaginaCarattere"/>
    <w:uiPriority w:val="99"/>
    <w:semiHidden/>
    <w:unhideWhenUsed/>
    <w:rsid w:val="00C1582D"/>
    <w:rPr>
      <w:rFonts w:ascii="Calibri" w:eastAsia="Calibri" w:hAnsi="Calibri" w:cs="Times New Roman"/>
      <w:sz w:val="20"/>
      <w:szCs w:val="20"/>
    </w:rPr>
  </w:style>
  <w:style w:type="character" w:customStyle="1" w:styleId="TestonotaapidipaginaCarattere">
    <w:name w:val="Testo nota a piè di pagina Carattere"/>
    <w:basedOn w:val="Carpredefinitoparagrafo"/>
    <w:link w:val="Testonotaapidipagina"/>
    <w:uiPriority w:val="99"/>
    <w:semiHidden/>
    <w:rsid w:val="00C1582D"/>
    <w:rPr>
      <w:rFonts w:ascii="Calibri" w:eastAsia="Calibri" w:hAnsi="Calibri" w:cs="Times New Roman"/>
      <w:sz w:val="20"/>
      <w:szCs w:val="20"/>
    </w:rPr>
  </w:style>
  <w:style w:type="character" w:styleId="Rimandonotaapidipagina">
    <w:name w:val="footnote reference"/>
    <w:uiPriority w:val="99"/>
    <w:semiHidden/>
    <w:unhideWhenUsed/>
    <w:rsid w:val="00C1582D"/>
    <w:rPr>
      <w:vertAlign w:val="superscript"/>
    </w:rPr>
  </w:style>
  <w:style w:type="character" w:customStyle="1" w:styleId="Enfasicorsivo1">
    <w:name w:val="Enfasi (corsivo)1"/>
    <w:basedOn w:val="Carpredefinitoparagrafo"/>
    <w:rsid w:val="00C1582D"/>
    <w:rPr>
      <w:i/>
    </w:rPr>
  </w:style>
  <w:style w:type="character" w:customStyle="1" w:styleId="Enfasigrassetto1">
    <w:name w:val="Enfasi (grassetto)1"/>
    <w:basedOn w:val="Carpredefinitoparagrafo"/>
    <w:rsid w:val="00C1582D"/>
    <w:rPr>
      <w:b/>
    </w:rPr>
  </w:style>
  <w:style w:type="paragraph" w:styleId="Paragrafoelenco">
    <w:name w:val="List Paragraph"/>
    <w:basedOn w:val="Normale"/>
    <w:uiPriority w:val="34"/>
    <w:qFormat/>
    <w:rsid w:val="00C1582D"/>
    <w:pPr>
      <w:ind w:left="720"/>
      <w:contextualSpacing/>
    </w:pPr>
    <w:rPr>
      <w:rFonts w:ascii="Calibri" w:eastAsia="Calibri" w:hAnsi="Calibri" w:cs="Times New Roman"/>
    </w:rPr>
  </w:style>
  <w:style w:type="paragraph" w:styleId="Intestazione">
    <w:name w:val="header"/>
    <w:basedOn w:val="Normale"/>
    <w:link w:val="IntestazioneCarattere"/>
    <w:uiPriority w:val="99"/>
    <w:unhideWhenUsed/>
    <w:rsid w:val="007E627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6270"/>
  </w:style>
  <w:style w:type="paragraph" w:styleId="Pidipagina">
    <w:name w:val="footer"/>
    <w:basedOn w:val="Normale"/>
    <w:link w:val="PidipaginaCarattere"/>
    <w:uiPriority w:val="99"/>
    <w:unhideWhenUsed/>
    <w:rsid w:val="007E627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6270"/>
  </w:style>
  <w:style w:type="paragraph" w:styleId="Testofumetto">
    <w:name w:val="Balloon Text"/>
    <w:basedOn w:val="Normale"/>
    <w:link w:val="TestofumettoCarattere"/>
    <w:uiPriority w:val="99"/>
    <w:semiHidden/>
    <w:unhideWhenUsed/>
    <w:rsid w:val="0097243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24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624909-1B75-49E4-9E3D-57E18F2DD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4</Pages>
  <Words>1546</Words>
  <Characters>8816</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dc:creator>
  <cp:keywords/>
  <dc:description/>
  <cp:lastModifiedBy>fabrizio</cp:lastModifiedBy>
  <cp:revision>92</cp:revision>
  <dcterms:created xsi:type="dcterms:W3CDTF">2015-05-28T13:21:00Z</dcterms:created>
  <dcterms:modified xsi:type="dcterms:W3CDTF">2018-04-04T09:27:00Z</dcterms:modified>
</cp:coreProperties>
</file>