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9E7" w:rsidRDefault="00CD45D7" w:rsidP="00ED2F52">
      <w:pPr>
        <w:pStyle w:val="Corpotesto"/>
        <w:kinsoku w:val="0"/>
        <w:overflowPunct w:val="0"/>
        <w:rPr>
          <w:sz w:val="20"/>
          <w:szCs w:val="20"/>
        </w:rPr>
      </w:pPr>
      <w:r>
        <w:rPr>
          <w:noProof/>
          <w:sz w:val="20"/>
          <w:szCs w:val="20"/>
        </w:rPr>
        <w:drawing>
          <wp:inline distT="0" distB="0" distL="0" distR="0">
            <wp:extent cx="1929765" cy="5105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9765" cy="510540"/>
                    </a:xfrm>
                    <a:prstGeom prst="rect">
                      <a:avLst/>
                    </a:prstGeom>
                    <a:noFill/>
                    <a:ln>
                      <a:noFill/>
                    </a:ln>
                  </pic:spPr>
                </pic:pic>
              </a:graphicData>
            </a:graphic>
          </wp:inline>
        </w:drawing>
      </w:r>
    </w:p>
    <w:p w:rsidR="008709E7" w:rsidRDefault="008709E7">
      <w:pPr>
        <w:pStyle w:val="Corpotesto"/>
        <w:kinsoku w:val="0"/>
        <w:overflowPunct w:val="0"/>
        <w:rPr>
          <w:sz w:val="27"/>
          <w:szCs w:val="27"/>
        </w:rPr>
      </w:pPr>
    </w:p>
    <w:p w:rsidR="008709E7" w:rsidRPr="00CC474E" w:rsidRDefault="008709E7">
      <w:pPr>
        <w:pStyle w:val="Titolo1"/>
        <w:kinsoku w:val="0"/>
        <w:overflowPunct w:val="0"/>
      </w:pPr>
      <w:bookmarkStart w:id="0" w:name="8._Linfoma_di_Hodgkin"/>
      <w:bookmarkEnd w:id="0"/>
      <w:r w:rsidRPr="00CC474E">
        <w:t>LINFOMA DI HODGKIN</w:t>
      </w:r>
    </w:p>
    <w:p w:rsidR="008709E7" w:rsidRPr="00CC474E" w:rsidRDefault="008709E7">
      <w:pPr>
        <w:pStyle w:val="Corpotesto"/>
        <w:kinsoku w:val="0"/>
        <w:overflowPunct w:val="0"/>
        <w:rPr>
          <w:b/>
          <w:bCs/>
          <w:sz w:val="28"/>
          <w:szCs w:val="28"/>
        </w:rPr>
      </w:pPr>
    </w:p>
    <w:p w:rsidR="00B443F2" w:rsidRPr="00CC474E" w:rsidRDefault="00B443F2">
      <w:pPr>
        <w:pStyle w:val="Corpotesto"/>
        <w:kinsoku w:val="0"/>
        <w:overflowPunct w:val="0"/>
        <w:rPr>
          <w:b/>
          <w:bCs/>
          <w:sz w:val="28"/>
          <w:szCs w:val="28"/>
        </w:rPr>
      </w:pPr>
    </w:p>
    <w:p w:rsidR="008709E7" w:rsidRPr="00CC474E" w:rsidRDefault="008709E7" w:rsidP="00ED2F52">
      <w:pPr>
        <w:pStyle w:val="Titolo3"/>
        <w:kinsoku w:val="0"/>
        <w:overflowPunct w:val="0"/>
        <w:ind w:left="0"/>
        <w:rPr>
          <w:sz w:val="24"/>
          <w:szCs w:val="24"/>
        </w:rPr>
      </w:pPr>
      <w:r w:rsidRPr="00CC474E">
        <w:rPr>
          <w:sz w:val="24"/>
          <w:szCs w:val="24"/>
        </w:rPr>
        <w:t>Cos’è il linfoma di Hodgkin</w:t>
      </w:r>
    </w:p>
    <w:p w:rsidR="008709E7" w:rsidRPr="00CC474E" w:rsidRDefault="008709E7" w:rsidP="00ED2F52">
      <w:pPr>
        <w:pStyle w:val="Corpotesto"/>
        <w:kinsoku w:val="0"/>
        <w:overflowPunct w:val="0"/>
        <w:jc w:val="both"/>
      </w:pPr>
      <w:r w:rsidRPr="00CC474E">
        <w:t>Il linfoma di Hodgkin (HL), noto anche come malattia di Hodgkin, origina dall'espansione clonale di una specifica</w:t>
      </w:r>
      <w:r w:rsidRPr="00CC474E">
        <w:rPr>
          <w:spacing w:val="-10"/>
        </w:rPr>
        <w:t xml:space="preserve"> </w:t>
      </w:r>
      <w:r w:rsidRPr="00CC474E">
        <w:t>popolazione</w:t>
      </w:r>
      <w:r w:rsidRPr="00CC474E">
        <w:rPr>
          <w:spacing w:val="-8"/>
        </w:rPr>
        <w:t xml:space="preserve"> </w:t>
      </w:r>
      <w:r w:rsidRPr="00CC474E">
        <w:t>di</w:t>
      </w:r>
      <w:r w:rsidRPr="00CC474E">
        <w:rPr>
          <w:spacing w:val="-10"/>
        </w:rPr>
        <w:t xml:space="preserve"> </w:t>
      </w:r>
      <w:r w:rsidRPr="00CC474E">
        <w:t>globuli</w:t>
      </w:r>
      <w:r w:rsidRPr="00CC474E">
        <w:rPr>
          <w:spacing w:val="-10"/>
        </w:rPr>
        <w:t xml:space="preserve"> </w:t>
      </w:r>
      <w:r w:rsidRPr="00CC474E">
        <w:t>bia</w:t>
      </w:r>
      <w:r w:rsidR="001220F4" w:rsidRPr="00CC474E">
        <w:t>n</w:t>
      </w:r>
      <w:r w:rsidRPr="00CC474E">
        <w:t>chi</w:t>
      </w:r>
      <w:r w:rsidRPr="00CC474E">
        <w:rPr>
          <w:spacing w:val="-10"/>
        </w:rPr>
        <w:t xml:space="preserve"> </w:t>
      </w:r>
      <w:r w:rsidRPr="00CC474E">
        <w:t>linfociti</w:t>
      </w:r>
      <w:r w:rsidRPr="00CC474E">
        <w:rPr>
          <w:spacing w:val="-9"/>
        </w:rPr>
        <w:t xml:space="preserve"> </w:t>
      </w:r>
      <w:r w:rsidRPr="00CC474E">
        <w:t>B</w:t>
      </w:r>
      <w:r w:rsidRPr="00CC474E">
        <w:rPr>
          <w:spacing w:val="31"/>
        </w:rPr>
        <w:t xml:space="preserve"> </w:t>
      </w:r>
      <w:r w:rsidRPr="00CC474E">
        <w:t>presenti</w:t>
      </w:r>
      <w:r w:rsidRPr="00CC474E">
        <w:rPr>
          <w:spacing w:val="-10"/>
        </w:rPr>
        <w:t xml:space="preserve"> </w:t>
      </w:r>
      <w:r w:rsidRPr="00CC474E">
        <w:t>nelle</w:t>
      </w:r>
      <w:r w:rsidRPr="00CC474E">
        <w:rPr>
          <w:spacing w:val="-13"/>
        </w:rPr>
        <w:t xml:space="preserve"> </w:t>
      </w:r>
      <w:r w:rsidRPr="00CC474E">
        <w:t>stazioni</w:t>
      </w:r>
      <w:r w:rsidRPr="00CC474E">
        <w:rPr>
          <w:spacing w:val="-9"/>
        </w:rPr>
        <w:t xml:space="preserve"> </w:t>
      </w:r>
      <w:r w:rsidRPr="00CC474E">
        <w:t>del</w:t>
      </w:r>
      <w:r w:rsidRPr="00CC474E">
        <w:rPr>
          <w:spacing w:val="-11"/>
        </w:rPr>
        <w:t xml:space="preserve"> </w:t>
      </w:r>
      <w:r w:rsidRPr="00CC474E">
        <w:t>sistema</w:t>
      </w:r>
      <w:r w:rsidRPr="00CC474E">
        <w:rPr>
          <w:spacing w:val="-10"/>
        </w:rPr>
        <w:t xml:space="preserve"> </w:t>
      </w:r>
      <w:r w:rsidRPr="00CC474E">
        <w:t>linfatico</w:t>
      </w:r>
      <w:r w:rsidR="001220F4" w:rsidRPr="00CC474E">
        <w:t>,</w:t>
      </w:r>
      <w:r w:rsidRPr="00CC474E">
        <w:rPr>
          <w:spacing w:val="-8"/>
        </w:rPr>
        <w:t xml:space="preserve"> </w:t>
      </w:r>
      <w:r w:rsidRPr="00CC474E">
        <w:t>come</w:t>
      </w:r>
      <w:r w:rsidRPr="00CC474E">
        <w:rPr>
          <w:spacing w:val="-9"/>
        </w:rPr>
        <w:t xml:space="preserve"> </w:t>
      </w:r>
      <w:r w:rsidRPr="00CC474E">
        <w:t>i</w:t>
      </w:r>
      <w:r w:rsidRPr="00CC474E">
        <w:rPr>
          <w:spacing w:val="-11"/>
        </w:rPr>
        <w:t xml:space="preserve"> </w:t>
      </w:r>
      <w:r w:rsidRPr="00CC474E">
        <w:t>linfonodi e</w:t>
      </w:r>
      <w:r w:rsidRPr="00CC474E">
        <w:rPr>
          <w:spacing w:val="-5"/>
        </w:rPr>
        <w:t xml:space="preserve"> </w:t>
      </w:r>
      <w:r w:rsidRPr="00CC474E">
        <w:t>la</w:t>
      </w:r>
      <w:r w:rsidRPr="00CC474E">
        <w:rPr>
          <w:spacing w:val="-6"/>
        </w:rPr>
        <w:t xml:space="preserve"> </w:t>
      </w:r>
      <w:r w:rsidRPr="00CC474E">
        <w:t>milza,</w:t>
      </w:r>
      <w:r w:rsidRPr="00CC474E">
        <w:rPr>
          <w:spacing w:val="-8"/>
        </w:rPr>
        <w:t xml:space="preserve"> </w:t>
      </w:r>
      <w:r w:rsidRPr="00CC474E">
        <w:t>ma</w:t>
      </w:r>
      <w:r w:rsidRPr="00CC474E">
        <w:rPr>
          <w:spacing w:val="-5"/>
        </w:rPr>
        <w:t xml:space="preserve"> </w:t>
      </w:r>
      <w:r w:rsidRPr="00CC474E">
        <w:t>anche</w:t>
      </w:r>
      <w:r w:rsidRPr="00CC474E">
        <w:rPr>
          <w:spacing w:val="-5"/>
        </w:rPr>
        <w:t xml:space="preserve"> </w:t>
      </w:r>
      <w:r w:rsidRPr="00CC474E">
        <w:t>in</w:t>
      </w:r>
      <w:r w:rsidRPr="00CC474E">
        <w:rPr>
          <w:spacing w:val="-6"/>
        </w:rPr>
        <w:t xml:space="preserve"> </w:t>
      </w:r>
      <w:r w:rsidRPr="00CC474E">
        <w:t>localizzazioni</w:t>
      </w:r>
      <w:r w:rsidRPr="00CC474E">
        <w:rPr>
          <w:spacing w:val="-5"/>
        </w:rPr>
        <w:t xml:space="preserve"> </w:t>
      </w:r>
      <w:proofErr w:type="spellStart"/>
      <w:r w:rsidRPr="00CC474E">
        <w:t>extranodali</w:t>
      </w:r>
      <w:proofErr w:type="spellEnd"/>
      <w:r w:rsidRPr="00CC474E">
        <w:rPr>
          <w:spacing w:val="-9"/>
        </w:rPr>
        <w:t xml:space="preserve"> </w:t>
      </w:r>
      <w:r w:rsidRPr="00CC474E">
        <w:t>come</w:t>
      </w:r>
      <w:r w:rsidRPr="00CC474E">
        <w:rPr>
          <w:spacing w:val="-6"/>
        </w:rPr>
        <w:t xml:space="preserve"> </w:t>
      </w:r>
      <w:r w:rsidRPr="00CC474E">
        <w:t>midollo</w:t>
      </w:r>
      <w:r w:rsidRPr="00CC474E">
        <w:rPr>
          <w:spacing w:val="-6"/>
        </w:rPr>
        <w:t xml:space="preserve"> </w:t>
      </w:r>
      <w:r w:rsidRPr="00CC474E">
        <w:t>osseo,</w:t>
      </w:r>
      <w:r w:rsidRPr="00CC474E">
        <w:rPr>
          <w:spacing w:val="-5"/>
        </w:rPr>
        <w:t xml:space="preserve"> </w:t>
      </w:r>
      <w:r w:rsidRPr="00CC474E">
        <w:t>sangue</w:t>
      </w:r>
      <w:r w:rsidRPr="00CC474E">
        <w:rPr>
          <w:spacing w:val="-7"/>
        </w:rPr>
        <w:t xml:space="preserve"> </w:t>
      </w:r>
      <w:r w:rsidRPr="00CC474E">
        <w:t>e</w:t>
      </w:r>
      <w:r w:rsidRPr="00CC474E">
        <w:rPr>
          <w:spacing w:val="-4"/>
        </w:rPr>
        <w:t xml:space="preserve"> </w:t>
      </w:r>
      <w:r w:rsidRPr="00CC474E">
        <w:t>numerosi</w:t>
      </w:r>
      <w:r w:rsidRPr="00CC474E">
        <w:rPr>
          <w:spacing w:val="-6"/>
        </w:rPr>
        <w:t xml:space="preserve"> </w:t>
      </w:r>
      <w:r w:rsidRPr="00CC474E">
        <w:t>altri</w:t>
      </w:r>
      <w:r w:rsidRPr="00CC474E">
        <w:rPr>
          <w:spacing w:val="-9"/>
        </w:rPr>
        <w:t xml:space="preserve"> </w:t>
      </w:r>
      <w:r w:rsidRPr="00CC474E">
        <w:t>organi.</w:t>
      </w:r>
      <w:r w:rsidRPr="00CC474E">
        <w:rPr>
          <w:spacing w:val="-5"/>
        </w:rPr>
        <w:t xml:space="preserve"> </w:t>
      </w:r>
      <w:r w:rsidRPr="00CC474E">
        <w:t>Questo sistema ha il compito di difendere l'organismo dagli agenti esterni e dalle malattie. I linfonodi sono costituiti principalmente da linfociti e da altre cellule immunitarie e si attivano, ingrandendosi, in presenza di un'infezione da combattere.</w:t>
      </w:r>
      <w:r w:rsidR="006A0B32">
        <w:t xml:space="preserve"> </w:t>
      </w:r>
      <w:r w:rsidRPr="00CC474E">
        <w:t>Dal momento che il tessuto linfatico è presente praticamente in tutto l'organismo, il linfoma di Hodgkin si può sviluppare in diversi organi, anche se per lo più ha origine nei linfonodi. La diagnosi richiede l’asportazione del tessuto patologico (di solito un linfonodo) per eseguire l’esame</w:t>
      </w:r>
      <w:r w:rsidRPr="00CC474E">
        <w:rPr>
          <w:spacing w:val="-13"/>
        </w:rPr>
        <w:t xml:space="preserve"> </w:t>
      </w:r>
      <w:r w:rsidRPr="00CC474E">
        <w:t>istologico.</w:t>
      </w:r>
      <w:r w:rsidR="005C4193" w:rsidRPr="00CC474E">
        <w:t xml:space="preserve"> </w:t>
      </w:r>
      <w:r w:rsidRPr="00CC474E">
        <w:t>Il linfoma di Hodgkin classico è il tipo più comune, responsabile del 95% dei casi totali (la forma nodulare a predominanza linfocitica rappresenta il restante 5%).</w:t>
      </w:r>
    </w:p>
    <w:p w:rsidR="008709E7" w:rsidRPr="00CC474E" w:rsidRDefault="008709E7" w:rsidP="00ED2F52">
      <w:pPr>
        <w:pStyle w:val="Corpotesto"/>
        <w:kinsoku w:val="0"/>
        <w:overflowPunct w:val="0"/>
        <w:jc w:val="both"/>
      </w:pPr>
      <w:r w:rsidRPr="00CC474E">
        <w:t>Nonostante il trattamento degli stadi limitati sia notevolmente migliorato dopo l’adozione di schemi terapeutici combinati, con una percentuale di fallimento del trattamento in circa il 10% dei pazienti, circa il 30% dei pazienti con HL di nuova diagnosi si presenta in stadio avanzato di malattia e, nonostante i passi avanti</w:t>
      </w:r>
      <w:r w:rsidRPr="00CC474E">
        <w:rPr>
          <w:spacing w:val="-4"/>
        </w:rPr>
        <w:t xml:space="preserve"> </w:t>
      </w:r>
      <w:r w:rsidRPr="00CC474E">
        <w:t>nell’uso</w:t>
      </w:r>
      <w:r w:rsidRPr="00CC474E">
        <w:rPr>
          <w:spacing w:val="-5"/>
        </w:rPr>
        <w:t xml:space="preserve"> </w:t>
      </w:r>
      <w:r w:rsidRPr="00CC474E">
        <w:t>combinato</w:t>
      </w:r>
      <w:r w:rsidRPr="00CC474E">
        <w:rPr>
          <w:spacing w:val="-4"/>
        </w:rPr>
        <w:t xml:space="preserve"> </w:t>
      </w:r>
      <w:r w:rsidRPr="00CC474E">
        <w:t>di</w:t>
      </w:r>
      <w:r w:rsidRPr="00CC474E">
        <w:rPr>
          <w:spacing w:val="-4"/>
        </w:rPr>
        <w:t xml:space="preserve"> </w:t>
      </w:r>
      <w:r w:rsidRPr="00CC474E">
        <w:t>chemioterapia</w:t>
      </w:r>
      <w:r w:rsidRPr="00CC474E">
        <w:rPr>
          <w:spacing w:val="-5"/>
        </w:rPr>
        <w:t xml:space="preserve"> </w:t>
      </w:r>
      <w:r w:rsidRPr="00CC474E">
        <w:t>e</w:t>
      </w:r>
      <w:r w:rsidRPr="00CC474E">
        <w:rPr>
          <w:spacing w:val="-5"/>
        </w:rPr>
        <w:t xml:space="preserve"> </w:t>
      </w:r>
      <w:r w:rsidRPr="00CC474E">
        <w:t>radioterapia</w:t>
      </w:r>
      <w:r w:rsidRPr="00CC474E">
        <w:rPr>
          <w:spacing w:val="-5"/>
        </w:rPr>
        <w:t xml:space="preserve"> </w:t>
      </w:r>
      <w:r w:rsidRPr="00CC474E">
        <w:t>abbiano</w:t>
      </w:r>
      <w:r w:rsidRPr="00CC474E">
        <w:rPr>
          <w:spacing w:val="-3"/>
        </w:rPr>
        <w:t xml:space="preserve"> </w:t>
      </w:r>
      <w:r w:rsidRPr="00CC474E">
        <w:t>portato</w:t>
      </w:r>
      <w:r w:rsidRPr="00CC474E">
        <w:rPr>
          <w:spacing w:val="-3"/>
        </w:rPr>
        <w:t xml:space="preserve"> </w:t>
      </w:r>
      <w:r w:rsidRPr="00CC474E">
        <w:t>a</w:t>
      </w:r>
      <w:r w:rsidRPr="00CC474E">
        <w:rPr>
          <w:spacing w:val="-7"/>
        </w:rPr>
        <w:t xml:space="preserve"> </w:t>
      </w:r>
      <w:r w:rsidRPr="00CC474E">
        <w:t>tassi</w:t>
      </w:r>
      <w:r w:rsidRPr="00CC474E">
        <w:rPr>
          <w:spacing w:val="-5"/>
        </w:rPr>
        <w:t xml:space="preserve"> </w:t>
      </w:r>
      <w:r w:rsidRPr="00CC474E">
        <w:t>di</w:t>
      </w:r>
      <w:r w:rsidRPr="00CC474E">
        <w:rPr>
          <w:spacing w:val="-3"/>
        </w:rPr>
        <w:t xml:space="preserve"> </w:t>
      </w:r>
      <w:r w:rsidRPr="00CC474E">
        <w:t>remissione</w:t>
      </w:r>
      <w:r w:rsidRPr="00CC474E">
        <w:rPr>
          <w:spacing w:val="-4"/>
        </w:rPr>
        <w:t xml:space="preserve"> </w:t>
      </w:r>
      <w:r w:rsidRPr="00CC474E">
        <w:t>durevole</w:t>
      </w:r>
      <w:r w:rsidRPr="00CC474E">
        <w:rPr>
          <w:spacing w:val="-4"/>
        </w:rPr>
        <w:t xml:space="preserve"> </w:t>
      </w:r>
      <w:r w:rsidRPr="00CC474E">
        <w:t>fra il 60% e l’80% anche in questa categoria di pazienti, a oggi esiste ancora una frazione sostanziale di pazienti con HL che non guariscono: fino al 10% delle persone con stadio avanzato non raggiunge una remissione iniziale e circa il 30% dei rispondenti va incontro a una successiva</w:t>
      </w:r>
      <w:r w:rsidRPr="00CC474E">
        <w:rPr>
          <w:spacing w:val="-14"/>
        </w:rPr>
        <w:t xml:space="preserve"> </w:t>
      </w:r>
      <w:r w:rsidRPr="00CC474E">
        <w:t>recidiva.</w:t>
      </w:r>
    </w:p>
    <w:p w:rsidR="008709E7" w:rsidRPr="00CC474E" w:rsidRDefault="008709E7" w:rsidP="00ED2F52">
      <w:pPr>
        <w:pStyle w:val="Corpotesto"/>
        <w:kinsoku w:val="0"/>
        <w:overflowPunct w:val="0"/>
        <w:rPr>
          <w:sz w:val="21"/>
          <w:szCs w:val="21"/>
        </w:rPr>
      </w:pPr>
    </w:p>
    <w:p w:rsidR="008709E7" w:rsidRPr="00CC474E" w:rsidRDefault="008709E7" w:rsidP="00ED2F52">
      <w:pPr>
        <w:pStyle w:val="Titolo3"/>
        <w:kinsoku w:val="0"/>
        <w:overflowPunct w:val="0"/>
        <w:ind w:left="0"/>
        <w:rPr>
          <w:sz w:val="24"/>
          <w:szCs w:val="24"/>
        </w:rPr>
      </w:pPr>
      <w:r w:rsidRPr="00CC474E">
        <w:rPr>
          <w:sz w:val="24"/>
          <w:szCs w:val="24"/>
        </w:rPr>
        <w:t>Fattori di rischio</w:t>
      </w:r>
    </w:p>
    <w:p w:rsidR="008709E7" w:rsidRPr="00CC474E" w:rsidRDefault="008709E7" w:rsidP="00ED2F52">
      <w:pPr>
        <w:pStyle w:val="Corpotesto"/>
        <w:kinsoku w:val="0"/>
        <w:overflowPunct w:val="0"/>
      </w:pPr>
      <w:r w:rsidRPr="00CC474E">
        <w:t>Possono</w:t>
      </w:r>
      <w:r w:rsidRPr="00CC474E">
        <w:rPr>
          <w:spacing w:val="-13"/>
        </w:rPr>
        <w:t xml:space="preserve"> </w:t>
      </w:r>
      <w:r w:rsidRPr="00CC474E">
        <w:t>avere</w:t>
      </w:r>
      <w:r w:rsidRPr="00CC474E">
        <w:rPr>
          <w:spacing w:val="-15"/>
        </w:rPr>
        <w:t xml:space="preserve"> </w:t>
      </w:r>
      <w:r w:rsidRPr="00CC474E">
        <w:t>importanza</w:t>
      </w:r>
      <w:r w:rsidRPr="00CC474E">
        <w:rPr>
          <w:spacing w:val="-13"/>
        </w:rPr>
        <w:t xml:space="preserve"> </w:t>
      </w:r>
      <w:r w:rsidRPr="00CC474E">
        <w:t>i</w:t>
      </w:r>
      <w:r w:rsidRPr="00CC474E">
        <w:rPr>
          <w:spacing w:val="-17"/>
        </w:rPr>
        <w:t xml:space="preserve"> </w:t>
      </w:r>
      <w:r w:rsidRPr="00CC474E">
        <w:t>fattori</w:t>
      </w:r>
      <w:r w:rsidRPr="00CC474E">
        <w:rPr>
          <w:spacing w:val="-14"/>
        </w:rPr>
        <w:t xml:space="preserve"> </w:t>
      </w:r>
      <w:r w:rsidRPr="00CC474E">
        <w:t>di</w:t>
      </w:r>
      <w:r w:rsidRPr="00CC474E">
        <w:rPr>
          <w:spacing w:val="-13"/>
        </w:rPr>
        <w:t xml:space="preserve"> </w:t>
      </w:r>
      <w:r w:rsidRPr="00CC474E">
        <w:t>rischio</w:t>
      </w:r>
      <w:r w:rsidRPr="00CC474E">
        <w:rPr>
          <w:spacing w:val="-12"/>
        </w:rPr>
        <w:t xml:space="preserve"> </w:t>
      </w:r>
      <w:r w:rsidRPr="00CC474E">
        <w:t>che</w:t>
      </w:r>
      <w:r w:rsidRPr="00CC474E">
        <w:rPr>
          <w:spacing w:val="-16"/>
        </w:rPr>
        <w:t xml:space="preserve"> </w:t>
      </w:r>
      <w:r w:rsidRPr="00CC474E">
        <w:t>valgono</w:t>
      </w:r>
      <w:r w:rsidRPr="00CC474E">
        <w:rPr>
          <w:spacing w:val="-12"/>
        </w:rPr>
        <w:t xml:space="preserve"> </w:t>
      </w:r>
      <w:r w:rsidRPr="00CC474E">
        <w:t>anche</w:t>
      </w:r>
      <w:r w:rsidRPr="00CC474E">
        <w:rPr>
          <w:spacing w:val="-15"/>
        </w:rPr>
        <w:t xml:space="preserve"> </w:t>
      </w:r>
      <w:r w:rsidRPr="00CC474E">
        <w:t>per</w:t>
      </w:r>
      <w:r w:rsidRPr="00CC474E">
        <w:rPr>
          <w:spacing w:val="-14"/>
        </w:rPr>
        <w:t xml:space="preserve"> </w:t>
      </w:r>
      <w:r w:rsidRPr="00CC474E">
        <w:t>altre</w:t>
      </w:r>
      <w:r w:rsidRPr="00CC474E">
        <w:rPr>
          <w:spacing w:val="-15"/>
        </w:rPr>
        <w:t xml:space="preserve"> </w:t>
      </w:r>
      <w:r w:rsidRPr="00CC474E">
        <w:t>malattie</w:t>
      </w:r>
      <w:r w:rsidRPr="00CC474E">
        <w:rPr>
          <w:spacing w:val="-12"/>
        </w:rPr>
        <w:t xml:space="preserve"> </w:t>
      </w:r>
      <w:r w:rsidRPr="00CC474E">
        <w:t>tumorali</w:t>
      </w:r>
      <w:r w:rsidRPr="00CC474E">
        <w:rPr>
          <w:spacing w:val="-16"/>
        </w:rPr>
        <w:t xml:space="preserve"> </w:t>
      </w:r>
      <w:r w:rsidRPr="00CC474E">
        <w:t>come</w:t>
      </w:r>
      <w:r w:rsidRPr="00CC474E">
        <w:rPr>
          <w:spacing w:val="-13"/>
        </w:rPr>
        <w:t xml:space="preserve"> </w:t>
      </w:r>
      <w:r w:rsidRPr="00CC474E">
        <w:t>l’esposizione</w:t>
      </w:r>
    </w:p>
    <w:p w:rsidR="008709E7" w:rsidRPr="00CC474E" w:rsidRDefault="008709E7" w:rsidP="00ED2F52">
      <w:pPr>
        <w:pStyle w:val="Corpotesto"/>
        <w:kinsoku w:val="0"/>
        <w:overflowPunct w:val="0"/>
      </w:pPr>
      <w:r w:rsidRPr="00CC474E">
        <w:t>a pesticidi, agenti chimici o radiazioni.</w:t>
      </w:r>
    </w:p>
    <w:p w:rsidR="00ED2F52" w:rsidRPr="00CC474E" w:rsidRDefault="008709E7" w:rsidP="00ED2F52">
      <w:pPr>
        <w:pStyle w:val="Corpotesto"/>
        <w:kinsoku w:val="0"/>
        <w:overflowPunct w:val="0"/>
      </w:pPr>
      <w:r w:rsidRPr="00CC474E">
        <w:t>Si possono inoltre riconoscere alcune fasce di rischio per questa malattia in base a:</w:t>
      </w:r>
    </w:p>
    <w:p w:rsidR="00ED2F52" w:rsidRPr="00CC474E" w:rsidRDefault="008709E7" w:rsidP="00ED2F52">
      <w:pPr>
        <w:pStyle w:val="Corpotesto"/>
        <w:numPr>
          <w:ilvl w:val="0"/>
          <w:numId w:val="12"/>
        </w:numPr>
        <w:kinsoku w:val="0"/>
        <w:overflowPunct w:val="0"/>
        <w:jc w:val="both"/>
      </w:pPr>
      <w:r w:rsidRPr="00CC474E">
        <w:t>età: le fasce più a rischio sono quelle tra i 20 e i 30 anni e oltre i 60</w:t>
      </w:r>
      <w:r w:rsidRPr="00CC474E">
        <w:rPr>
          <w:spacing w:val="-16"/>
        </w:rPr>
        <w:t xml:space="preserve"> </w:t>
      </w:r>
      <w:r w:rsidRPr="00CC474E">
        <w:t>anni</w:t>
      </w:r>
    </w:p>
    <w:p w:rsidR="00ED2F52" w:rsidRPr="00CC474E" w:rsidRDefault="008709E7" w:rsidP="00ED2F52">
      <w:pPr>
        <w:pStyle w:val="Corpotesto"/>
        <w:numPr>
          <w:ilvl w:val="0"/>
          <w:numId w:val="12"/>
        </w:numPr>
        <w:kinsoku w:val="0"/>
        <w:overflowPunct w:val="0"/>
        <w:jc w:val="both"/>
      </w:pPr>
      <w:r w:rsidRPr="00CC474E">
        <w:t>sesso: gli uomini presentano un rischio di ammalarsi leggermente maggiore rispetto alle</w:t>
      </w:r>
      <w:r w:rsidRPr="00CC474E">
        <w:rPr>
          <w:spacing w:val="-9"/>
        </w:rPr>
        <w:t xml:space="preserve"> </w:t>
      </w:r>
      <w:r w:rsidRPr="00CC474E">
        <w:t>donne</w:t>
      </w:r>
    </w:p>
    <w:p w:rsidR="00ED2F52" w:rsidRPr="00CC474E" w:rsidRDefault="008709E7" w:rsidP="00ED2F52">
      <w:pPr>
        <w:pStyle w:val="Corpotesto"/>
        <w:numPr>
          <w:ilvl w:val="0"/>
          <w:numId w:val="12"/>
        </w:numPr>
        <w:kinsoku w:val="0"/>
        <w:overflowPunct w:val="0"/>
        <w:jc w:val="both"/>
      </w:pPr>
      <w:r w:rsidRPr="00CC474E">
        <w:t>storia familiare: sembrano essere importanti i fattori ambientali piuttosto che quelli genetici (non è una malattia</w:t>
      </w:r>
      <w:r w:rsidRPr="00CC474E">
        <w:rPr>
          <w:spacing w:val="-1"/>
        </w:rPr>
        <w:t xml:space="preserve"> </w:t>
      </w:r>
      <w:r w:rsidRPr="00CC474E">
        <w:t>ereditaria)</w:t>
      </w:r>
    </w:p>
    <w:p w:rsidR="00ED2F52" w:rsidRPr="00CC474E" w:rsidRDefault="008709E7" w:rsidP="00ED2F52">
      <w:pPr>
        <w:pStyle w:val="Corpotesto"/>
        <w:numPr>
          <w:ilvl w:val="0"/>
          <w:numId w:val="12"/>
        </w:numPr>
        <w:kinsoku w:val="0"/>
        <w:overflowPunct w:val="0"/>
        <w:jc w:val="both"/>
      </w:pPr>
      <w:r w:rsidRPr="00CC474E">
        <w:t>esposizione a virus di Epstein-Barr: responsabile della mononucleosi</w:t>
      </w:r>
      <w:r w:rsidRPr="00CC474E">
        <w:rPr>
          <w:spacing w:val="-9"/>
        </w:rPr>
        <w:t xml:space="preserve"> </w:t>
      </w:r>
      <w:r w:rsidRPr="00CC474E">
        <w:t>infettiva</w:t>
      </w:r>
    </w:p>
    <w:p w:rsidR="008709E7" w:rsidRPr="00CC474E" w:rsidRDefault="008709E7" w:rsidP="00ED2F52">
      <w:pPr>
        <w:pStyle w:val="Corpotesto"/>
        <w:numPr>
          <w:ilvl w:val="0"/>
          <w:numId w:val="12"/>
        </w:numPr>
        <w:kinsoku w:val="0"/>
        <w:overflowPunct w:val="0"/>
        <w:jc w:val="both"/>
      </w:pPr>
      <w:r w:rsidRPr="00CC474E">
        <w:t>presenza</w:t>
      </w:r>
      <w:r w:rsidRPr="00CC474E">
        <w:rPr>
          <w:spacing w:val="6"/>
        </w:rPr>
        <w:t xml:space="preserve"> </w:t>
      </w:r>
      <w:r w:rsidRPr="00CC474E">
        <w:t>di</w:t>
      </w:r>
      <w:r w:rsidRPr="00CC474E">
        <w:rPr>
          <w:spacing w:val="6"/>
        </w:rPr>
        <w:t xml:space="preserve"> </w:t>
      </w:r>
      <w:r w:rsidRPr="00CC474E">
        <w:t>condizioni</w:t>
      </w:r>
      <w:r w:rsidRPr="00CC474E">
        <w:rPr>
          <w:spacing w:val="6"/>
        </w:rPr>
        <w:t xml:space="preserve"> </w:t>
      </w:r>
      <w:r w:rsidRPr="00CC474E">
        <w:t>di</w:t>
      </w:r>
      <w:r w:rsidRPr="00CC474E">
        <w:rPr>
          <w:spacing w:val="6"/>
        </w:rPr>
        <w:t xml:space="preserve"> </w:t>
      </w:r>
      <w:r w:rsidRPr="00CC474E">
        <w:t>immunodepressione</w:t>
      </w:r>
      <w:r w:rsidRPr="00CC474E">
        <w:rPr>
          <w:spacing w:val="4"/>
        </w:rPr>
        <w:t xml:space="preserve"> </w:t>
      </w:r>
      <w:r w:rsidRPr="00CC474E">
        <w:t>(ad</w:t>
      </w:r>
      <w:r w:rsidRPr="00CC474E">
        <w:rPr>
          <w:spacing w:val="5"/>
        </w:rPr>
        <w:t xml:space="preserve"> </w:t>
      </w:r>
      <w:r w:rsidRPr="00CC474E">
        <w:t>esempio</w:t>
      </w:r>
      <w:r w:rsidRPr="00CC474E">
        <w:rPr>
          <w:spacing w:val="10"/>
        </w:rPr>
        <w:t xml:space="preserve"> </w:t>
      </w:r>
      <w:r w:rsidRPr="00CC474E">
        <w:t>in</w:t>
      </w:r>
      <w:r w:rsidRPr="00CC474E">
        <w:rPr>
          <w:spacing w:val="5"/>
        </w:rPr>
        <w:t xml:space="preserve"> </w:t>
      </w:r>
      <w:r w:rsidRPr="00CC474E">
        <w:t>seguito</w:t>
      </w:r>
      <w:r w:rsidRPr="00CC474E">
        <w:rPr>
          <w:spacing w:val="7"/>
        </w:rPr>
        <w:t xml:space="preserve"> </w:t>
      </w:r>
      <w:r w:rsidRPr="00CC474E">
        <w:t>a</w:t>
      </w:r>
      <w:r w:rsidRPr="00CC474E">
        <w:rPr>
          <w:spacing w:val="6"/>
        </w:rPr>
        <w:t xml:space="preserve"> </w:t>
      </w:r>
      <w:r w:rsidRPr="00CC474E">
        <w:t>un</w:t>
      </w:r>
      <w:r w:rsidRPr="00CC474E">
        <w:rPr>
          <w:spacing w:val="5"/>
        </w:rPr>
        <w:t xml:space="preserve"> </w:t>
      </w:r>
      <w:r w:rsidRPr="00CC474E">
        <w:t>trapianto</w:t>
      </w:r>
      <w:r w:rsidRPr="00CC474E">
        <w:rPr>
          <w:spacing w:val="8"/>
        </w:rPr>
        <w:t xml:space="preserve"> </w:t>
      </w:r>
      <w:r w:rsidRPr="00CC474E">
        <w:t>d’organo</w:t>
      </w:r>
      <w:r w:rsidRPr="00CC474E">
        <w:rPr>
          <w:spacing w:val="5"/>
        </w:rPr>
        <w:t xml:space="preserve"> </w:t>
      </w:r>
      <w:r w:rsidRPr="00CC474E">
        <w:t>o</w:t>
      </w:r>
      <w:r w:rsidRPr="00CC474E">
        <w:rPr>
          <w:spacing w:val="7"/>
        </w:rPr>
        <w:t xml:space="preserve"> </w:t>
      </w:r>
      <w:r w:rsidRPr="00CC474E">
        <w:t>in</w:t>
      </w:r>
      <w:r w:rsidRPr="00CC474E">
        <w:rPr>
          <w:spacing w:val="5"/>
        </w:rPr>
        <w:t xml:space="preserve"> </w:t>
      </w:r>
      <w:r w:rsidRPr="00CC474E">
        <w:t>caso</w:t>
      </w:r>
    </w:p>
    <w:p w:rsidR="00ED2F52" w:rsidRPr="00CC474E" w:rsidRDefault="008709E7" w:rsidP="00ED2F52">
      <w:pPr>
        <w:pStyle w:val="Corpotesto"/>
        <w:numPr>
          <w:ilvl w:val="0"/>
          <w:numId w:val="12"/>
        </w:numPr>
        <w:kinsoku w:val="0"/>
        <w:overflowPunct w:val="0"/>
        <w:spacing w:line="268" w:lineRule="exact"/>
        <w:jc w:val="both"/>
      </w:pPr>
      <w:r w:rsidRPr="00CC474E">
        <w:t>di infezione da HIV)</w:t>
      </w:r>
    </w:p>
    <w:p w:rsidR="00ED2F52" w:rsidRPr="00CC474E" w:rsidRDefault="008709E7" w:rsidP="00ED2F52">
      <w:pPr>
        <w:pStyle w:val="Corpotesto"/>
        <w:numPr>
          <w:ilvl w:val="0"/>
          <w:numId w:val="12"/>
        </w:numPr>
        <w:kinsoku w:val="0"/>
        <w:overflowPunct w:val="0"/>
        <w:spacing w:line="268" w:lineRule="exact"/>
        <w:jc w:val="both"/>
      </w:pPr>
      <w:r w:rsidRPr="00CC474E">
        <w:t>fattori geografici: il linfoma di Hodgkin è maggiormente diffuso nel Nord Europa, negli Stati Uniti e in Canada rispetto ai Paesi</w:t>
      </w:r>
      <w:r w:rsidRPr="00CC474E">
        <w:rPr>
          <w:spacing w:val="-3"/>
        </w:rPr>
        <w:t xml:space="preserve"> </w:t>
      </w:r>
      <w:r w:rsidRPr="00CC474E">
        <w:t>asiatici</w:t>
      </w:r>
    </w:p>
    <w:p w:rsidR="008709E7" w:rsidRPr="00CC474E" w:rsidRDefault="008709E7" w:rsidP="00ED2F52">
      <w:pPr>
        <w:pStyle w:val="Corpotesto"/>
        <w:numPr>
          <w:ilvl w:val="0"/>
          <w:numId w:val="12"/>
        </w:numPr>
        <w:kinsoku w:val="0"/>
        <w:overflowPunct w:val="0"/>
        <w:spacing w:line="268" w:lineRule="exact"/>
        <w:jc w:val="both"/>
      </w:pPr>
      <w:r w:rsidRPr="00CC474E">
        <w:t>livello socio-economico: è più comune fra le persone a elevato tenore di</w:t>
      </w:r>
      <w:r w:rsidRPr="00CC474E">
        <w:rPr>
          <w:spacing w:val="-12"/>
        </w:rPr>
        <w:t xml:space="preserve"> </w:t>
      </w:r>
      <w:r w:rsidRPr="00CC474E">
        <w:t>vita.</w:t>
      </w:r>
    </w:p>
    <w:p w:rsidR="008709E7" w:rsidRPr="00CC474E" w:rsidRDefault="008709E7" w:rsidP="00ED2F52">
      <w:pPr>
        <w:pStyle w:val="Corpotesto"/>
        <w:kinsoku w:val="0"/>
        <w:overflowPunct w:val="0"/>
        <w:jc w:val="both"/>
      </w:pPr>
    </w:p>
    <w:p w:rsidR="008709E7" w:rsidRPr="00CC474E" w:rsidRDefault="008709E7" w:rsidP="00ED2F52">
      <w:pPr>
        <w:pStyle w:val="Titolo3"/>
        <w:kinsoku w:val="0"/>
        <w:overflowPunct w:val="0"/>
        <w:ind w:left="0"/>
        <w:jc w:val="both"/>
        <w:rPr>
          <w:sz w:val="24"/>
          <w:szCs w:val="24"/>
        </w:rPr>
      </w:pPr>
      <w:r w:rsidRPr="00CC474E">
        <w:rPr>
          <w:sz w:val="24"/>
          <w:szCs w:val="24"/>
        </w:rPr>
        <w:t>I sintomi</w:t>
      </w:r>
    </w:p>
    <w:p w:rsidR="00ED2F52" w:rsidRPr="00CC474E" w:rsidRDefault="008709E7" w:rsidP="00ED2F52">
      <w:pPr>
        <w:pStyle w:val="Corpotesto"/>
        <w:kinsoku w:val="0"/>
        <w:overflowPunct w:val="0"/>
        <w:jc w:val="both"/>
      </w:pPr>
      <w:r w:rsidRPr="00CC474E">
        <w:t xml:space="preserve">Nella gran parte dei casi il primo sintomo del linfoma di Hodgkin è un ingrossamento dei linfonodi, o </w:t>
      </w:r>
      <w:proofErr w:type="spellStart"/>
      <w:r w:rsidRPr="00CC474E">
        <w:t>linfoadenomegalia</w:t>
      </w:r>
      <w:proofErr w:type="spellEnd"/>
      <w:r w:rsidRPr="00CC474E">
        <w:t>;</w:t>
      </w:r>
      <w:r w:rsidRPr="00CC474E">
        <w:rPr>
          <w:spacing w:val="-12"/>
        </w:rPr>
        <w:t xml:space="preserve"> </w:t>
      </w:r>
      <w:r w:rsidRPr="00CC474E">
        <w:t>le</w:t>
      </w:r>
      <w:r w:rsidRPr="00CC474E">
        <w:rPr>
          <w:spacing w:val="-14"/>
        </w:rPr>
        <w:t xml:space="preserve"> </w:t>
      </w:r>
      <w:r w:rsidRPr="00CC474E">
        <w:t>stazioni</w:t>
      </w:r>
      <w:r w:rsidRPr="00CC474E">
        <w:rPr>
          <w:spacing w:val="-12"/>
        </w:rPr>
        <w:t xml:space="preserve"> </w:t>
      </w:r>
      <w:r w:rsidRPr="00CC474E">
        <w:t>linfonodali</w:t>
      </w:r>
      <w:r w:rsidRPr="00CC474E">
        <w:rPr>
          <w:spacing w:val="-12"/>
        </w:rPr>
        <w:t xml:space="preserve"> </w:t>
      </w:r>
      <w:r w:rsidRPr="00CC474E">
        <w:t>più</w:t>
      </w:r>
      <w:r w:rsidRPr="00CC474E">
        <w:rPr>
          <w:spacing w:val="-12"/>
        </w:rPr>
        <w:t xml:space="preserve"> </w:t>
      </w:r>
      <w:r w:rsidRPr="00CC474E">
        <w:t>frequentemente</w:t>
      </w:r>
      <w:r w:rsidRPr="00CC474E">
        <w:rPr>
          <w:spacing w:val="26"/>
        </w:rPr>
        <w:t xml:space="preserve"> </w:t>
      </w:r>
      <w:r w:rsidRPr="00CC474E">
        <w:t>interessate</w:t>
      </w:r>
      <w:r w:rsidRPr="00CC474E">
        <w:rPr>
          <w:spacing w:val="-11"/>
        </w:rPr>
        <w:t xml:space="preserve"> </w:t>
      </w:r>
      <w:r w:rsidRPr="00CC474E">
        <w:t>sono</w:t>
      </w:r>
      <w:r w:rsidRPr="00CC474E">
        <w:rPr>
          <w:spacing w:val="-13"/>
        </w:rPr>
        <w:t xml:space="preserve"> </w:t>
      </w:r>
      <w:r w:rsidRPr="00CC474E">
        <w:t>quelle</w:t>
      </w:r>
      <w:r w:rsidRPr="00CC474E">
        <w:rPr>
          <w:spacing w:val="-11"/>
        </w:rPr>
        <w:t xml:space="preserve"> </w:t>
      </w:r>
      <w:r w:rsidRPr="00CC474E">
        <w:t>della</w:t>
      </w:r>
      <w:r w:rsidRPr="00CC474E">
        <w:rPr>
          <w:spacing w:val="-12"/>
        </w:rPr>
        <w:t xml:space="preserve"> </w:t>
      </w:r>
      <w:r w:rsidRPr="00CC474E">
        <w:t>regione</w:t>
      </w:r>
      <w:r w:rsidRPr="00CC474E">
        <w:rPr>
          <w:spacing w:val="-11"/>
        </w:rPr>
        <w:t xml:space="preserve"> </w:t>
      </w:r>
      <w:r w:rsidRPr="00CC474E">
        <w:t>cervicale ed ascellari. È comunque importante ricordare che, nella maggior parte dei casi, la presenza di linfonodi aumentati</w:t>
      </w:r>
      <w:r w:rsidRPr="00CC474E">
        <w:rPr>
          <w:spacing w:val="-9"/>
        </w:rPr>
        <w:t xml:space="preserve"> </w:t>
      </w:r>
      <w:r w:rsidRPr="00CC474E">
        <w:t>di</w:t>
      </w:r>
      <w:r w:rsidRPr="00CC474E">
        <w:rPr>
          <w:spacing w:val="-11"/>
        </w:rPr>
        <w:t xml:space="preserve"> </w:t>
      </w:r>
      <w:r w:rsidRPr="00CC474E">
        <w:t>volume</w:t>
      </w:r>
      <w:r w:rsidRPr="00CC474E">
        <w:rPr>
          <w:spacing w:val="-7"/>
        </w:rPr>
        <w:t xml:space="preserve"> </w:t>
      </w:r>
      <w:r w:rsidRPr="00CC474E">
        <w:t>non</w:t>
      </w:r>
      <w:r w:rsidRPr="00CC474E">
        <w:rPr>
          <w:spacing w:val="-9"/>
        </w:rPr>
        <w:t xml:space="preserve"> </w:t>
      </w:r>
      <w:r w:rsidRPr="00CC474E">
        <w:t>è</w:t>
      </w:r>
      <w:r w:rsidRPr="00CC474E">
        <w:rPr>
          <w:spacing w:val="-12"/>
        </w:rPr>
        <w:t xml:space="preserve"> </w:t>
      </w:r>
      <w:r w:rsidRPr="00CC474E">
        <w:t>legata</w:t>
      </w:r>
      <w:r w:rsidRPr="00CC474E">
        <w:rPr>
          <w:spacing w:val="-9"/>
        </w:rPr>
        <w:t xml:space="preserve"> </w:t>
      </w:r>
      <w:r w:rsidRPr="00CC474E">
        <w:t>a</w:t>
      </w:r>
      <w:r w:rsidRPr="00CC474E">
        <w:rPr>
          <w:spacing w:val="-8"/>
        </w:rPr>
        <w:t xml:space="preserve"> </w:t>
      </w:r>
      <w:r w:rsidRPr="00CC474E">
        <w:t>un</w:t>
      </w:r>
      <w:r w:rsidRPr="00CC474E">
        <w:rPr>
          <w:spacing w:val="-9"/>
        </w:rPr>
        <w:t xml:space="preserve"> </w:t>
      </w:r>
      <w:r w:rsidRPr="00CC474E">
        <w:t>linfoma</w:t>
      </w:r>
      <w:r w:rsidRPr="00CC474E">
        <w:rPr>
          <w:spacing w:val="-11"/>
        </w:rPr>
        <w:t xml:space="preserve"> </w:t>
      </w:r>
      <w:r w:rsidRPr="00CC474E">
        <w:t>ma</w:t>
      </w:r>
      <w:r w:rsidRPr="00CC474E">
        <w:rPr>
          <w:spacing w:val="-8"/>
        </w:rPr>
        <w:t xml:space="preserve"> </w:t>
      </w:r>
      <w:r w:rsidRPr="00CC474E">
        <w:t>a</w:t>
      </w:r>
      <w:r w:rsidRPr="00CC474E">
        <w:rPr>
          <w:spacing w:val="-9"/>
        </w:rPr>
        <w:t xml:space="preserve"> </w:t>
      </w:r>
      <w:r w:rsidRPr="00CC474E">
        <w:t>un'infezione.</w:t>
      </w:r>
      <w:r w:rsidRPr="00CC474E">
        <w:rPr>
          <w:spacing w:val="-7"/>
        </w:rPr>
        <w:t xml:space="preserve"> </w:t>
      </w:r>
      <w:r w:rsidRPr="00CC474E">
        <w:t>Le</w:t>
      </w:r>
      <w:r w:rsidRPr="00CC474E">
        <w:rPr>
          <w:spacing w:val="-7"/>
        </w:rPr>
        <w:t xml:space="preserve"> </w:t>
      </w:r>
      <w:proofErr w:type="spellStart"/>
      <w:r w:rsidRPr="00CC474E">
        <w:t>linfoadenomegalie</w:t>
      </w:r>
      <w:proofErr w:type="spellEnd"/>
      <w:r w:rsidRPr="00CC474E">
        <w:rPr>
          <w:spacing w:val="-8"/>
        </w:rPr>
        <w:t xml:space="preserve"> </w:t>
      </w:r>
      <w:r w:rsidRPr="00CC474E">
        <w:t>associate</w:t>
      </w:r>
      <w:r w:rsidRPr="00CC474E">
        <w:rPr>
          <w:spacing w:val="-8"/>
        </w:rPr>
        <w:t xml:space="preserve"> </w:t>
      </w:r>
      <w:r w:rsidRPr="00CC474E">
        <w:t>a</w:t>
      </w:r>
      <w:r w:rsidRPr="00CC474E">
        <w:rPr>
          <w:spacing w:val="-11"/>
        </w:rPr>
        <w:t xml:space="preserve"> </w:t>
      </w:r>
      <w:r w:rsidRPr="00CC474E">
        <w:t>patologia neoplastica</w:t>
      </w:r>
      <w:r w:rsidRPr="00CC474E">
        <w:rPr>
          <w:spacing w:val="-14"/>
        </w:rPr>
        <w:t xml:space="preserve"> </w:t>
      </w:r>
      <w:r w:rsidRPr="00CC474E">
        <w:t>si</w:t>
      </w:r>
      <w:r w:rsidRPr="00CC474E">
        <w:rPr>
          <w:spacing w:val="-13"/>
        </w:rPr>
        <w:t xml:space="preserve"> </w:t>
      </w:r>
      <w:r w:rsidRPr="00CC474E">
        <w:t>presentano</w:t>
      </w:r>
      <w:r w:rsidRPr="00CC474E">
        <w:rPr>
          <w:spacing w:val="-13"/>
        </w:rPr>
        <w:t xml:space="preserve"> </w:t>
      </w:r>
      <w:r w:rsidRPr="00CC474E">
        <w:t>caratteristicamente</w:t>
      </w:r>
      <w:r w:rsidRPr="00CC474E">
        <w:rPr>
          <w:spacing w:val="-10"/>
        </w:rPr>
        <w:t xml:space="preserve"> </w:t>
      </w:r>
      <w:r w:rsidRPr="00CC474E">
        <w:t>non</w:t>
      </w:r>
      <w:r w:rsidRPr="00CC474E">
        <w:rPr>
          <w:spacing w:val="-12"/>
        </w:rPr>
        <w:t xml:space="preserve"> </w:t>
      </w:r>
      <w:r w:rsidRPr="00CC474E">
        <w:t>dolenti,</w:t>
      </w:r>
      <w:r w:rsidRPr="00CC474E">
        <w:rPr>
          <w:spacing w:val="-10"/>
        </w:rPr>
        <w:t xml:space="preserve"> </w:t>
      </w:r>
      <w:r w:rsidRPr="00CC474E">
        <w:t>con</w:t>
      </w:r>
      <w:r w:rsidRPr="00CC474E">
        <w:rPr>
          <w:spacing w:val="-15"/>
        </w:rPr>
        <w:t xml:space="preserve"> </w:t>
      </w:r>
      <w:r w:rsidRPr="00CC474E">
        <w:t>cute</w:t>
      </w:r>
      <w:r w:rsidRPr="00CC474E">
        <w:rPr>
          <w:spacing w:val="-12"/>
        </w:rPr>
        <w:t xml:space="preserve"> </w:t>
      </w:r>
      <w:r w:rsidRPr="00CC474E">
        <w:t>sovrastante</w:t>
      </w:r>
      <w:r w:rsidRPr="00CC474E">
        <w:rPr>
          <w:spacing w:val="-12"/>
        </w:rPr>
        <w:t xml:space="preserve"> </w:t>
      </w:r>
      <w:r w:rsidRPr="00CC474E">
        <w:t>integra,</w:t>
      </w:r>
      <w:r w:rsidRPr="00CC474E">
        <w:rPr>
          <w:spacing w:val="-12"/>
        </w:rPr>
        <w:t xml:space="preserve"> </w:t>
      </w:r>
      <w:r w:rsidRPr="00CC474E">
        <w:t>di</w:t>
      </w:r>
      <w:r w:rsidRPr="00CC474E">
        <w:rPr>
          <w:spacing w:val="-13"/>
        </w:rPr>
        <w:t xml:space="preserve"> </w:t>
      </w:r>
      <w:r w:rsidRPr="00CC474E">
        <w:t>consistenza</w:t>
      </w:r>
      <w:r w:rsidRPr="00CC474E">
        <w:rPr>
          <w:spacing w:val="-12"/>
        </w:rPr>
        <w:t xml:space="preserve"> </w:t>
      </w:r>
      <w:r w:rsidRPr="00CC474E">
        <w:t>lignea e con la tendenza a conglomerare in pacchetti. I soggetti affetti da linfoma di Hodgkin possono inoltre presentare anche sintomi sistemici che comprendono febbre persistente, sudorazione notturna profusa, perdita di peso (sintomi B) e prurito sine materia. Se la malattia riguarda i linfonodi presenti nel torace</w:t>
      </w:r>
      <w:r w:rsidR="006A0B32">
        <w:t>,</w:t>
      </w:r>
      <w:r w:rsidRPr="00CC474E">
        <w:t xml:space="preserve"> si possono manifestare anche tosse, dolore al petto e difficoltà</w:t>
      </w:r>
      <w:r w:rsidRPr="00CC474E">
        <w:rPr>
          <w:spacing w:val="-13"/>
        </w:rPr>
        <w:t xml:space="preserve"> </w:t>
      </w:r>
      <w:r w:rsidRPr="00CC474E">
        <w:t>respiratorie.</w:t>
      </w:r>
    </w:p>
    <w:p w:rsidR="00C737FB" w:rsidRPr="00CC474E" w:rsidRDefault="00C737FB" w:rsidP="00ED2F52">
      <w:pPr>
        <w:pStyle w:val="Corpotesto"/>
        <w:kinsoku w:val="0"/>
        <w:overflowPunct w:val="0"/>
        <w:jc w:val="both"/>
        <w:rPr>
          <w:b/>
          <w:bCs/>
          <w:sz w:val="24"/>
          <w:szCs w:val="24"/>
        </w:rPr>
      </w:pPr>
    </w:p>
    <w:p w:rsidR="00C737FB" w:rsidRPr="00CC474E" w:rsidRDefault="00C737FB" w:rsidP="00ED2F52">
      <w:pPr>
        <w:pStyle w:val="Corpotesto"/>
        <w:kinsoku w:val="0"/>
        <w:overflowPunct w:val="0"/>
        <w:jc w:val="both"/>
        <w:rPr>
          <w:b/>
          <w:bCs/>
          <w:sz w:val="24"/>
          <w:szCs w:val="24"/>
        </w:rPr>
      </w:pPr>
    </w:p>
    <w:p w:rsidR="008709E7" w:rsidRPr="00CC474E" w:rsidRDefault="008709E7" w:rsidP="00ED2F52">
      <w:pPr>
        <w:pStyle w:val="Corpotesto"/>
        <w:kinsoku w:val="0"/>
        <w:overflowPunct w:val="0"/>
        <w:jc w:val="both"/>
      </w:pPr>
      <w:r w:rsidRPr="00CC474E">
        <w:rPr>
          <w:b/>
          <w:bCs/>
          <w:sz w:val="24"/>
          <w:szCs w:val="24"/>
        </w:rPr>
        <w:t>La</w:t>
      </w:r>
      <w:r w:rsidRPr="00CC474E">
        <w:rPr>
          <w:b/>
          <w:bCs/>
          <w:spacing w:val="-3"/>
          <w:sz w:val="24"/>
          <w:szCs w:val="24"/>
        </w:rPr>
        <w:t xml:space="preserve"> </w:t>
      </w:r>
      <w:r w:rsidRPr="00CC474E">
        <w:rPr>
          <w:b/>
          <w:bCs/>
          <w:sz w:val="24"/>
          <w:szCs w:val="24"/>
        </w:rPr>
        <w:t>diagnosi</w:t>
      </w:r>
    </w:p>
    <w:p w:rsidR="008709E7" w:rsidRPr="00CC474E" w:rsidRDefault="008709E7" w:rsidP="00ED2F52">
      <w:pPr>
        <w:pStyle w:val="Corpotesto"/>
        <w:kinsoku w:val="0"/>
        <w:overflowPunct w:val="0"/>
        <w:jc w:val="both"/>
        <w:rPr>
          <w:vertAlign w:val="superscript"/>
        </w:rPr>
      </w:pPr>
      <w:r w:rsidRPr="00CC474E">
        <w:t>La</w:t>
      </w:r>
      <w:r w:rsidRPr="00CC474E">
        <w:rPr>
          <w:spacing w:val="-9"/>
        </w:rPr>
        <w:t xml:space="preserve"> </w:t>
      </w:r>
      <w:r w:rsidRPr="00CC474E">
        <w:t>biopsia</w:t>
      </w:r>
      <w:r w:rsidRPr="00CC474E">
        <w:rPr>
          <w:spacing w:val="-10"/>
        </w:rPr>
        <w:t xml:space="preserve"> </w:t>
      </w:r>
      <w:proofErr w:type="spellStart"/>
      <w:r w:rsidRPr="00CC474E">
        <w:t>escissionale</w:t>
      </w:r>
      <w:proofErr w:type="spellEnd"/>
      <w:r w:rsidRPr="00CC474E">
        <w:rPr>
          <w:spacing w:val="-9"/>
        </w:rPr>
        <w:t xml:space="preserve"> </w:t>
      </w:r>
      <w:r w:rsidRPr="00CC474E">
        <w:t>dei</w:t>
      </w:r>
      <w:r w:rsidRPr="00CC474E">
        <w:rPr>
          <w:spacing w:val="-8"/>
        </w:rPr>
        <w:t xml:space="preserve"> </w:t>
      </w:r>
      <w:r w:rsidRPr="00CC474E">
        <w:t>linfonodi,</w:t>
      </w:r>
      <w:r w:rsidRPr="00CC474E">
        <w:rPr>
          <w:spacing w:val="-9"/>
        </w:rPr>
        <w:t xml:space="preserve"> </w:t>
      </w:r>
      <w:r w:rsidRPr="00CC474E">
        <w:t>cioè</w:t>
      </w:r>
      <w:r w:rsidRPr="00CC474E">
        <w:rPr>
          <w:spacing w:val="-7"/>
        </w:rPr>
        <w:t xml:space="preserve"> </w:t>
      </w:r>
      <w:r w:rsidRPr="00CC474E">
        <w:t>il</w:t>
      </w:r>
      <w:r w:rsidRPr="00CC474E">
        <w:rPr>
          <w:spacing w:val="-9"/>
        </w:rPr>
        <w:t xml:space="preserve"> </w:t>
      </w:r>
      <w:r w:rsidRPr="00CC474E">
        <w:t>prelievo</w:t>
      </w:r>
      <w:r w:rsidRPr="00CC474E">
        <w:rPr>
          <w:spacing w:val="-7"/>
        </w:rPr>
        <w:t xml:space="preserve"> </w:t>
      </w:r>
      <w:r w:rsidRPr="00CC474E">
        <w:t>di</w:t>
      </w:r>
      <w:r w:rsidRPr="00CC474E">
        <w:rPr>
          <w:spacing w:val="-12"/>
        </w:rPr>
        <w:t xml:space="preserve"> </w:t>
      </w:r>
      <w:r w:rsidRPr="00CC474E">
        <w:t>tutto</w:t>
      </w:r>
      <w:r w:rsidRPr="00CC474E">
        <w:rPr>
          <w:spacing w:val="-7"/>
        </w:rPr>
        <w:t xml:space="preserve"> </w:t>
      </w:r>
      <w:r w:rsidRPr="00CC474E">
        <w:t>il</w:t>
      </w:r>
      <w:r w:rsidRPr="00CC474E">
        <w:rPr>
          <w:spacing w:val="-8"/>
        </w:rPr>
        <w:t xml:space="preserve"> </w:t>
      </w:r>
      <w:r w:rsidRPr="00CC474E">
        <w:t>linfonodo</w:t>
      </w:r>
      <w:r w:rsidRPr="00CC474E">
        <w:rPr>
          <w:spacing w:val="-8"/>
        </w:rPr>
        <w:t xml:space="preserve"> </w:t>
      </w:r>
      <w:r w:rsidRPr="00CC474E">
        <w:t>che</w:t>
      </w:r>
      <w:r w:rsidRPr="00CC474E">
        <w:rPr>
          <w:spacing w:val="-11"/>
        </w:rPr>
        <w:t xml:space="preserve"> </w:t>
      </w:r>
      <w:r w:rsidRPr="00CC474E">
        <w:t>verrà</w:t>
      </w:r>
      <w:r w:rsidRPr="00CC474E">
        <w:rPr>
          <w:spacing w:val="-9"/>
        </w:rPr>
        <w:t xml:space="preserve"> </w:t>
      </w:r>
      <w:r w:rsidRPr="00CC474E">
        <w:t>successivamente</w:t>
      </w:r>
      <w:r w:rsidRPr="00CC474E">
        <w:rPr>
          <w:spacing w:val="-10"/>
        </w:rPr>
        <w:t xml:space="preserve"> </w:t>
      </w:r>
      <w:r w:rsidRPr="00CC474E">
        <w:t>analizzato al microscopio, è l'esame fondamentale per arrivare a una diagnosi precisa. Una volta ottenuta la diagnosi istologica,</w:t>
      </w:r>
      <w:r w:rsidRPr="00CC474E">
        <w:rPr>
          <w:spacing w:val="-9"/>
        </w:rPr>
        <w:t xml:space="preserve"> </w:t>
      </w:r>
      <w:r w:rsidRPr="00CC474E">
        <w:t>occorre</w:t>
      </w:r>
      <w:r w:rsidRPr="00CC474E">
        <w:rPr>
          <w:spacing w:val="-6"/>
        </w:rPr>
        <w:t xml:space="preserve"> </w:t>
      </w:r>
      <w:r w:rsidRPr="00CC474E">
        <w:t>effettuare</w:t>
      </w:r>
      <w:r w:rsidRPr="00CC474E">
        <w:rPr>
          <w:spacing w:val="-5"/>
        </w:rPr>
        <w:t xml:space="preserve"> </w:t>
      </w:r>
      <w:r w:rsidRPr="00CC474E">
        <w:t>la</w:t>
      </w:r>
      <w:r w:rsidRPr="00CC474E">
        <w:rPr>
          <w:spacing w:val="-6"/>
        </w:rPr>
        <w:t xml:space="preserve"> </w:t>
      </w:r>
      <w:r w:rsidRPr="00CC474E">
        <w:t>stadiazione</w:t>
      </w:r>
      <w:r w:rsidRPr="00CC474E">
        <w:rPr>
          <w:spacing w:val="-6"/>
        </w:rPr>
        <w:t xml:space="preserve"> </w:t>
      </w:r>
      <w:r w:rsidRPr="00CC474E">
        <w:t>della</w:t>
      </w:r>
      <w:r w:rsidRPr="00CC474E">
        <w:rPr>
          <w:spacing w:val="-6"/>
        </w:rPr>
        <w:t xml:space="preserve"> </w:t>
      </w:r>
      <w:r w:rsidRPr="00CC474E">
        <w:t>malattia,</w:t>
      </w:r>
      <w:r w:rsidRPr="00CC474E">
        <w:rPr>
          <w:spacing w:val="-6"/>
        </w:rPr>
        <w:t xml:space="preserve"> </w:t>
      </w:r>
      <w:r w:rsidRPr="00CC474E">
        <w:t>cioè</w:t>
      </w:r>
      <w:r w:rsidRPr="00CC474E">
        <w:rPr>
          <w:spacing w:val="-5"/>
        </w:rPr>
        <w:t xml:space="preserve"> </w:t>
      </w:r>
      <w:r w:rsidRPr="00CC474E">
        <w:t>valutare</w:t>
      </w:r>
      <w:r w:rsidRPr="00CC474E">
        <w:rPr>
          <w:spacing w:val="-6"/>
        </w:rPr>
        <w:t xml:space="preserve"> </w:t>
      </w:r>
      <w:r w:rsidRPr="00CC474E">
        <w:t>l'estensione</w:t>
      </w:r>
      <w:r w:rsidRPr="00CC474E">
        <w:rPr>
          <w:spacing w:val="-5"/>
        </w:rPr>
        <w:t xml:space="preserve"> </w:t>
      </w:r>
      <w:r w:rsidRPr="00CC474E">
        <w:t>della</w:t>
      </w:r>
      <w:r w:rsidRPr="00CC474E">
        <w:rPr>
          <w:spacing w:val="-6"/>
        </w:rPr>
        <w:t xml:space="preserve"> </w:t>
      </w:r>
      <w:r w:rsidRPr="00CC474E">
        <w:t>malattia</w:t>
      </w:r>
      <w:r w:rsidRPr="00CC474E">
        <w:rPr>
          <w:spacing w:val="-8"/>
        </w:rPr>
        <w:t xml:space="preserve"> </w:t>
      </w:r>
      <w:r w:rsidRPr="00CC474E">
        <w:t xml:space="preserve">mediante esami di diagnostica per immagini come TC o TC/PET, ma anche risonanza magnetica ed ecografia. Soprattutto la PET ha da tempo acquisito un ruolo importante non solo per la stadiazione, ma anche per valutare la risposta alla terapia eseguita. Vanno quindi eseguiti emocromo ed esami ematochimici completi; in particolare la valutazione ematica della </w:t>
      </w:r>
      <w:proofErr w:type="spellStart"/>
      <w:r w:rsidRPr="00CC474E">
        <w:t>latticodeidrogenasi</w:t>
      </w:r>
      <w:proofErr w:type="spellEnd"/>
      <w:r w:rsidRPr="00CC474E">
        <w:t xml:space="preserve"> (LDH) rappresenta un marcatore aspecifico di patologia linfoproliferativa. Al termine di queste indagini</w:t>
      </w:r>
      <w:r w:rsidR="00F009ED">
        <w:t>,</w:t>
      </w:r>
      <w:r w:rsidRPr="00CC474E">
        <w:t xml:space="preserve"> viene attribuito uno stadio alla malattia che va da I a IV in base alle sedi infiltrate e al coinvolgimento o meno di organi non linfoidi; allo stadio viene associato il suffisso A o B a seconda della presenza o meno di sintomi sistemici (febbre, calo ponderale, sudorazioni notturne).</w:t>
      </w:r>
      <w:r w:rsidRPr="00CC474E">
        <w:rPr>
          <w:vertAlign w:val="superscript"/>
        </w:rPr>
        <w:t>1</w:t>
      </w:r>
    </w:p>
    <w:p w:rsidR="008709E7" w:rsidRPr="00CC474E" w:rsidRDefault="008709E7" w:rsidP="00ED2F52">
      <w:pPr>
        <w:pStyle w:val="Corpotesto"/>
        <w:kinsoku w:val="0"/>
        <w:overflowPunct w:val="0"/>
        <w:rPr>
          <w:sz w:val="21"/>
          <w:szCs w:val="21"/>
        </w:rPr>
      </w:pPr>
    </w:p>
    <w:p w:rsidR="008709E7" w:rsidRPr="00CC474E" w:rsidRDefault="008709E7" w:rsidP="00ED2F52">
      <w:pPr>
        <w:pStyle w:val="Titolo3"/>
        <w:kinsoku w:val="0"/>
        <w:overflowPunct w:val="0"/>
        <w:ind w:left="0"/>
        <w:rPr>
          <w:sz w:val="24"/>
          <w:szCs w:val="24"/>
        </w:rPr>
      </w:pPr>
      <w:r w:rsidRPr="00CC474E">
        <w:rPr>
          <w:sz w:val="24"/>
          <w:szCs w:val="24"/>
        </w:rPr>
        <w:t>Incidenza</w:t>
      </w:r>
    </w:p>
    <w:p w:rsidR="008709E7" w:rsidRPr="00CC474E" w:rsidRDefault="008709E7" w:rsidP="00ED2F52">
      <w:pPr>
        <w:pStyle w:val="Corpotesto"/>
        <w:kinsoku w:val="0"/>
        <w:overflowPunct w:val="0"/>
      </w:pPr>
      <w:r w:rsidRPr="00CC474E">
        <w:t>In Italia, nel 2019, sono stimati 2.300 casi di linfoma di Hodgkin (1.300 uomini e 1.000 donne).</w:t>
      </w:r>
    </w:p>
    <w:p w:rsidR="008709E7" w:rsidRPr="00CC474E" w:rsidRDefault="008709E7" w:rsidP="00ED2F52">
      <w:pPr>
        <w:pStyle w:val="Corpotesto"/>
        <w:kinsoku w:val="0"/>
        <w:overflowPunct w:val="0"/>
      </w:pPr>
    </w:p>
    <w:p w:rsidR="008709E7" w:rsidRPr="00CC474E" w:rsidRDefault="008709E7" w:rsidP="00ED2F52">
      <w:pPr>
        <w:pStyle w:val="Titolo3"/>
        <w:kinsoku w:val="0"/>
        <w:overflowPunct w:val="0"/>
        <w:ind w:left="0"/>
        <w:rPr>
          <w:sz w:val="24"/>
          <w:szCs w:val="24"/>
        </w:rPr>
      </w:pPr>
      <w:r w:rsidRPr="00CC474E">
        <w:rPr>
          <w:sz w:val="24"/>
          <w:szCs w:val="24"/>
        </w:rPr>
        <w:t>Sopravvivenza</w:t>
      </w:r>
    </w:p>
    <w:p w:rsidR="008709E7" w:rsidRPr="00CC474E" w:rsidRDefault="008709E7" w:rsidP="00ED2F52">
      <w:pPr>
        <w:pStyle w:val="Corpotesto"/>
        <w:kinsoku w:val="0"/>
        <w:overflowPunct w:val="0"/>
      </w:pPr>
      <w:r w:rsidRPr="00CC474E">
        <w:t>La sopravvivenza a 5 anni nel linfoma di Hodgkin in Italia è pari all’84% (82% uomini e 87% donne).</w:t>
      </w:r>
    </w:p>
    <w:p w:rsidR="008709E7" w:rsidRPr="00CC474E" w:rsidRDefault="008709E7" w:rsidP="00ED2F52">
      <w:pPr>
        <w:pStyle w:val="Corpotesto"/>
        <w:kinsoku w:val="0"/>
        <w:overflowPunct w:val="0"/>
      </w:pPr>
    </w:p>
    <w:p w:rsidR="008709E7" w:rsidRPr="00CC474E" w:rsidRDefault="008709E7" w:rsidP="00ED2F52">
      <w:pPr>
        <w:pStyle w:val="Titolo3"/>
        <w:kinsoku w:val="0"/>
        <w:overflowPunct w:val="0"/>
        <w:ind w:left="0"/>
        <w:rPr>
          <w:sz w:val="24"/>
          <w:szCs w:val="24"/>
        </w:rPr>
      </w:pPr>
      <w:r w:rsidRPr="00CC474E">
        <w:rPr>
          <w:sz w:val="24"/>
          <w:szCs w:val="24"/>
        </w:rPr>
        <w:t>Prevalenza</w:t>
      </w:r>
    </w:p>
    <w:p w:rsidR="008709E7" w:rsidRPr="00CC474E" w:rsidRDefault="008709E7" w:rsidP="00ED2F52">
      <w:pPr>
        <w:pStyle w:val="Corpotesto"/>
        <w:kinsoku w:val="0"/>
        <w:overflowPunct w:val="0"/>
        <w:rPr>
          <w:vertAlign w:val="superscript"/>
        </w:rPr>
      </w:pPr>
      <w:r w:rsidRPr="00CC474E">
        <w:t>In Italia i pazienti con diagnosi di linfoma di Hodgkin sono circa 73.425 (41.849 uomini e 31.576 donne).</w:t>
      </w:r>
      <w:r w:rsidRPr="00CC474E">
        <w:rPr>
          <w:vertAlign w:val="superscript"/>
        </w:rPr>
        <w:t>2</w:t>
      </w:r>
    </w:p>
    <w:p w:rsidR="008709E7" w:rsidRPr="00CC474E" w:rsidRDefault="008709E7" w:rsidP="00ED2F52">
      <w:pPr>
        <w:pStyle w:val="Corpotesto"/>
        <w:kinsoku w:val="0"/>
        <w:overflowPunct w:val="0"/>
        <w:rPr>
          <w:sz w:val="24"/>
          <w:szCs w:val="24"/>
        </w:rPr>
      </w:pPr>
      <w:bookmarkStart w:id="1" w:name="_GoBack"/>
      <w:bookmarkEnd w:id="1"/>
    </w:p>
    <w:p w:rsidR="00ED2F52" w:rsidRDefault="00ED2F52" w:rsidP="00ED2F52">
      <w:pPr>
        <w:pStyle w:val="Corpotesto"/>
        <w:kinsoku w:val="0"/>
        <w:overflowPunct w:val="0"/>
        <w:rPr>
          <w:sz w:val="24"/>
          <w:szCs w:val="24"/>
        </w:rPr>
      </w:pPr>
    </w:p>
    <w:p w:rsidR="008709E7" w:rsidRPr="00B4147C" w:rsidRDefault="008709E7" w:rsidP="00ED2F52">
      <w:pPr>
        <w:pStyle w:val="Corpotesto"/>
        <w:kinsoku w:val="0"/>
        <w:overflowPunct w:val="0"/>
        <w:rPr>
          <w:b/>
          <w:bCs/>
          <w:sz w:val="20"/>
          <w:szCs w:val="20"/>
        </w:rPr>
      </w:pPr>
      <w:r w:rsidRPr="00B4147C">
        <w:rPr>
          <w:b/>
          <w:bCs/>
          <w:sz w:val="20"/>
          <w:szCs w:val="20"/>
          <w:u w:val="single" w:color="000000"/>
        </w:rPr>
        <w:t>Bibliografia</w:t>
      </w:r>
    </w:p>
    <w:p w:rsidR="008709E7" w:rsidRPr="00635E6E" w:rsidRDefault="008709E7" w:rsidP="00ED2F52">
      <w:pPr>
        <w:pStyle w:val="Corpotesto"/>
        <w:kinsoku w:val="0"/>
        <w:overflowPunct w:val="0"/>
        <w:spacing w:line="219" w:lineRule="exact"/>
        <w:rPr>
          <w:sz w:val="18"/>
          <w:szCs w:val="18"/>
        </w:rPr>
      </w:pPr>
      <w:r w:rsidRPr="00635E6E">
        <w:rPr>
          <w:position w:val="5"/>
          <w:sz w:val="18"/>
          <w:szCs w:val="18"/>
        </w:rPr>
        <w:t xml:space="preserve">1 </w:t>
      </w:r>
      <w:r w:rsidRPr="00635E6E">
        <w:rPr>
          <w:sz w:val="18"/>
          <w:szCs w:val="18"/>
        </w:rPr>
        <w:t xml:space="preserve">AIRC, </w:t>
      </w:r>
      <w:hyperlink r:id="rId9" w:history="1">
        <w:r w:rsidRPr="00635E6E">
          <w:rPr>
            <w:sz w:val="18"/>
            <w:szCs w:val="18"/>
            <w:u w:val="single" w:color="000000"/>
          </w:rPr>
          <w:t>https://www.airc.it/cancro/informazioni-tumori/guida-ai-tumori/linfoma-di-hodgkin</w:t>
        </w:r>
      </w:hyperlink>
    </w:p>
    <w:p w:rsidR="008709E7" w:rsidRPr="00635E6E" w:rsidRDefault="008709E7" w:rsidP="00ED2F52">
      <w:pPr>
        <w:pStyle w:val="Corpotesto"/>
        <w:kinsoku w:val="0"/>
        <w:overflowPunct w:val="0"/>
        <w:spacing w:line="219" w:lineRule="exact"/>
        <w:rPr>
          <w:sz w:val="18"/>
          <w:szCs w:val="18"/>
        </w:rPr>
      </w:pPr>
      <w:r w:rsidRPr="00635E6E">
        <w:rPr>
          <w:position w:val="5"/>
          <w:sz w:val="18"/>
          <w:szCs w:val="18"/>
        </w:rPr>
        <w:t xml:space="preserve">2 </w:t>
      </w:r>
      <w:r w:rsidRPr="00635E6E">
        <w:rPr>
          <w:sz w:val="18"/>
          <w:szCs w:val="18"/>
        </w:rPr>
        <w:t>I numeri del cancro in Italia 2019, AIOM – AIRTUM – Fondazione AIOM-PASSI-PASSI d’Argento-SIAPEC-IAP</w:t>
      </w:r>
    </w:p>
    <w:p w:rsidR="008709E7" w:rsidRPr="00B4147C"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8709E7">
      <w:pPr>
        <w:pStyle w:val="Corpotesto"/>
        <w:kinsoku w:val="0"/>
        <w:overflowPunct w:val="0"/>
        <w:rPr>
          <w:sz w:val="20"/>
          <w:szCs w:val="20"/>
        </w:rPr>
      </w:pPr>
    </w:p>
    <w:p w:rsidR="008709E7" w:rsidRDefault="00CD45D7">
      <w:pPr>
        <w:pStyle w:val="Corpotesto"/>
        <w:kinsoku w:val="0"/>
        <w:overflowPunct w:val="0"/>
        <w:rPr>
          <w:sz w:val="28"/>
          <w:szCs w:val="28"/>
        </w:rPr>
      </w:pPr>
      <w:r>
        <w:rPr>
          <w:noProof/>
        </w:rPr>
        <mc:AlternateContent>
          <mc:Choice Requires="wps">
            <w:drawing>
              <wp:anchor distT="0" distB="0" distL="0" distR="0" simplePos="0" relativeHeight="251659776" behindDoc="0" locked="0" layoutInCell="0" allowOverlap="1">
                <wp:simplePos x="0" y="0"/>
                <wp:positionH relativeFrom="page">
                  <wp:posOffset>752475</wp:posOffset>
                </wp:positionH>
                <wp:positionV relativeFrom="paragraph">
                  <wp:posOffset>241935</wp:posOffset>
                </wp:positionV>
                <wp:extent cx="889000" cy="4572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9E7" w:rsidRDefault="008709E7">
                            <w:pPr>
                              <w:widowControl/>
                              <w:autoSpaceDE/>
                              <w:autoSpaceDN/>
                              <w:adjustRightInd/>
                              <w:spacing w:line="720" w:lineRule="atLeast"/>
                              <w:rPr>
                                <w:rFonts w:ascii="Times New Roman" w:hAnsi="Times New Roman" w:cs="Times New Roman"/>
                                <w:sz w:val="24"/>
                                <w:szCs w:val="24"/>
                              </w:rPr>
                            </w:pPr>
                          </w:p>
                          <w:p w:rsidR="008709E7" w:rsidRDefault="008709E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59.25pt;margin-top:19.05pt;width:70pt;height:36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" o:allowincell="f" filled="f" stroked="f">
                <v:textbox inset="0,0,0,0">
                  <w:txbxContent>
                    <w:p w:rsidR="008709E7" w:rsidRDefault="008709E7">
                      <w:pPr>
                        <w:widowControl/>
                        <w:autoSpaceDE/>
                        <w:autoSpaceDN/>
                        <w:adjustRightInd/>
                        <w:spacing w:line="720" w:lineRule="atLeast"/>
                        <w:rPr>
                          <w:rFonts w:ascii="Times New Roman" w:hAnsi="Times New Roman" w:cs="Times New Roman"/>
                          <w:sz w:val="24"/>
                          <w:szCs w:val="24"/>
                        </w:rPr>
                      </w:pPr>
                    </w:p>
                    <w:p w:rsidR="008709E7" w:rsidRDefault="008709E7">
                      <w:pPr>
                        <w:rPr>
                          <w:rFonts w:ascii="Times New Roman" w:hAnsi="Times New Roman" w:cs="Times New Roman"/>
                          <w:sz w:val="24"/>
                          <w:szCs w:val="24"/>
                        </w:rPr>
                      </w:pPr>
                    </w:p>
                  </w:txbxContent>
                </v:textbox>
                <w10:wrap type="topAndBottom" anchorx="page"/>
              </v:rect>
            </w:pict>
          </mc:Fallback>
        </mc:AlternateContent>
      </w:r>
    </w:p>
    <w:sectPr w:rsidR="008709E7" w:rsidSect="00F520AB">
      <w:pgSz w:w="11910" w:h="16840"/>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FEF" w:rsidRDefault="00FC7FEF" w:rsidP="007045BF">
      <w:r>
        <w:separator/>
      </w:r>
    </w:p>
  </w:endnote>
  <w:endnote w:type="continuationSeparator" w:id="0">
    <w:p w:rsidR="00FC7FEF" w:rsidRDefault="00FC7FEF" w:rsidP="0070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FEF" w:rsidRDefault="00FC7FEF" w:rsidP="007045BF">
      <w:r>
        <w:separator/>
      </w:r>
    </w:p>
  </w:footnote>
  <w:footnote w:type="continuationSeparator" w:id="0">
    <w:p w:rsidR="00FC7FEF" w:rsidRDefault="00FC7FEF" w:rsidP="00704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numFmt w:val="bullet"/>
      <w:lvlText w:val="•"/>
      <w:lvlJc w:val="left"/>
      <w:pPr>
        <w:ind w:left="402" w:hanging="284"/>
      </w:pPr>
      <w:rPr>
        <w:rFonts w:ascii="Calibri" w:hAnsi="Calibri"/>
        <w:b w:val="0"/>
        <w:w w:val="100"/>
        <w:sz w:val="22"/>
      </w:rPr>
    </w:lvl>
    <w:lvl w:ilvl="1">
      <w:numFmt w:val="bullet"/>
      <w:lvlText w:val="-"/>
      <w:lvlJc w:val="left"/>
      <w:pPr>
        <w:ind w:left="685" w:hanging="284"/>
      </w:pPr>
      <w:rPr>
        <w:rFonts w:ascii="Calibri" w:hAnsi="Calibri"/>
        <w:b w:val="0"/>
        <w:w w:val="100"/>
        <w:sz w:val="22"/>
      </w:rPr>
    </w:lvl>
    <w:lvl w:ilvl="2">
      <w:numFmt w:val="bullet"/>
      <w:lvlText w:val="•"/>
      <w:lvlJc w:val="left"/>
      <w:pPr>
        <w:ind w:left="1163" w:hanging="284"/>
      </w:pPr>
    </w:lvl>
    <w:lvl w:ilvl="3">
      <w:numFmt w:val="bullet"/>
      <w:lvlText w:val="•"/>
      <w:lvlJc w:val="left"/>
      <w:pPr>
        <w:ind w:left="1646" w:hanging="284"/>
      </w:pPr>
    </w:lvl>
    <w:lvl w:ilvl="4">
      <w:numFmt w:val="bullet"/>
      <w:lvlText w:val="•"/>
      <w:lvlJc w:val="left"/>
      <w:pPr>
        <w:ind w:left="2129" w:hanging="284"/>
      </w:pPr>
    </w:lvl>
    <w:lvl w:ilvl="5">
      <w:numFmt w:val="bullet"/>
      <w:lvlText w:val="•"/>
      <w:lvlJc w:val="left"/>
      <w:pPr>
        <w:ind w:left="2612" w:hanging="284"/>
      </w:pPr>
    </w:lvl>
    <w:lvl w:ilvl="6">
      <w:numFmt w:val="bullet"/>
      <w:lvlText w:val="•"/>
      <w:lvlJc w:val="left"/>
      <w:pPr>
        <w:ind w:left="3095" w:hanging="284"/>
      </w:pPr>
    </w:lvl>
    <w:lvl w:ilvl="7">
      <w:numFmt w:val="bullet"/>
      <w:lvlText w:val="•"/>
      <w:lvlJc w:val="left"/>
      <w:pPr>
        <w:ind w:left="3578" w:hanging="284"/>
      </w:pPr>
    </w:lvl>
    <w:lvl w:ilvl="8">
      <w:numFmt w:val="bullet"/>
      <w:lvlText w:val="•"/>
      <w:lvlJc w:val="left"/>
      <w:pPr>
        <w:ind w:left="4061" w:hanging="284"/>
      </w:pPr>
    </w:lvl>
  </w:abstractNum>
  <w:abstractNum w:abstractNumId="1" w15:restartNumberingAfterBreak="0">
    <w:nsid w:val="00000403"/>
    <w:multiLevelType w:val="multilevel"/>
    <w:tmpl w:val="00000886"/>
    <w:lvl w:ilvl="0">
      <w:numFmt w:val="bullet"/>
      <w:lvlText w:val="-"/>
      <w:lvlJc w:val="left"/>
      <w:pPr>
        <w:ind w:left="762" w:hanging="360"/>
      </w:pPr>
      <w:rPr>
        <w:rFonts w:ascii="Arial" w:hAnsi="Arial"/>
        <w:b w:val="0"/>
        <w:w w:val="100"/>
        <w:sz w:val="22"/>
      </w:rPr>
    </w:lvl>
    <w:lvl w:ilvl="1">
      <w:numFmt w:val="bullet"/>
      <w:lvlText w:val="•"/>
      <w:lvlJc w:val="left"/>
      <w:pPr>
        <w:ind w:left="1628" w:hanging="360"/>
      </w:pPr>
    </w:lvl>
    <w:lvl w:ilvl="2">
      <w:numFmt w:val="bullet"/>
      <w:lvlText w:val="•"/>
      <w:lvlJc w:val="left"/>
      <w:pPr>
        <w:ind w:left="2497" w:hanging="360"/>
      </w:pPr>
    </w:lvl>
    <w:lvl w:ilvl="3">
      <w:numFmt w:val="bullet"/>
      <w:lvlText w:val="•"/>
      <w:lvlJc w:val="left"/>
      <w:pPr>
        <w:ind w:left="3365" w:hanging="360"/>
      </w:pPr>
    </w:lvl>
    <w:lvl w:ilvl="4">
      <w:numFmt w:val="bullet"/>
      <w:lvlText w:val="•"/>
      <w:lvlJc w:val="left"/>
      <w:pPr>
        <w:ind w:left="4234" w:hanging="360"/>
      </w:pPr>
    </w:lvl>
    <w:lvl w:ilvl="5">
      <w:numFmt w:val="bullet"/>
      <w:lvlText w:val="•"/>
      <w:lvlJc w:val="left"/>
      <w:pPr>
        <w:ind w:left="5103" w:hanging="360"/>
      </w:pPr>
    </w:lvl>
    <w:lvl w:ilvl="6">
      <w:numFmt w:val="bullet"/>
      <w:lvlText w:val="•"/>
      <w:lvlJc w:val="left"/>
      <w:pPr>
        <w:ind w:left="5971" w:hanging="360"/>
      </w:pPr>
    </w:lvl>
    <w:lvl w:ilvl="7">
      <w:numFmt w:val="bullet"/>
      <w:lvlText w:val="•"/>
      <w:lvlJc w:val="left"/>
      <w:pPr>
        <w:ind w:left="6840" w:hanging="360"/>
      </w:pPr>
    </w:lvl>
    <w:lvl w:ilvl="8">
      <w:numFmt w:val="bullet"/>
      <w:lvlText w:val="•"/>
      <w:lvlJc w:val="left"/>
      <w:pPr>
        <w:ind w:left="7709" w:hanging="360"/>
      </w:pPr>
    </w:lvl>
  </w:abstractNum>
  <w:abstractNum w:abstractNumId="2" w15:restartNumberingAfterBreak="0">
    <w:nsid w:val="00000404"/>
    <w:multiLevelType w:val="multilevel"/>
    <w:tmpl w:val="00000887"/>
    <w:lvl w:ilvl="0">
      <w:numFmt w:val="bullet"/>
      <w:lvlText w:val=""/>
      <w:lvlJc w:val="left"/>
      <w:pPr>
        <w:ind w:left="506" w:hanging="360"/>
      </w:pPr>
      <w:rPr>
        <w:b w:val="0"/>
        <w:w w:val="99"/>
      </w:rPr>
    </w:lvl>
    <w:lvl w:ilvl="1">
      <w:numFmt w:val="bullet"/>
      <w:lvlText w:val="•"/>
      <w:lvlJc w:val="left"/>
      <w:pPr>
        <w:ind w:left="867" w:hanging="360"/>
      </w:pPr>
    </w:lvl>
    <w:lvl w:ilvl="2">
      <w:numFmt w:val="bullet"/>
      <w:lvlText w:val="•"/>
      <w:lvlJc w:val="left"/>
      <w:pPr>
        <w:ind w:left="1235" w:hanging="360"/>
      </w:pPr>
    </w:lvl>
    <w:lvl w:ilvl="3">
      <w:numFmt w:val="bullet"/>
      <w:lvlText w:val="•"/>
      <w:lvlJc w:val="left"/>
      <w:pPr>
        <w:ind w:left="1603" w:hanging="360"/>
      </w:pPr>
    </w:lvl>
    <w:lvl w:ilvl="4">
      <w:numFmt w:val="bullet"/>
      <w:lvlText w:val="•"/>
      <w:lvlJc w:val="left"/>
      <w:pPr>
        <w:ind w:left="1971" w:hanging="360"/>
      </w:pPr>
    </w:lvl>
    <w:lvl w:ilvl="5">
      <w:numFmt w:val="bullet"/>
      <w:lvlText w:val="•"/>
      <w:lvlJc w:val="left"/>
      <w:pPr>
        <w:ind w:left="2339" w:hanging="360"/>
      </w:pPr>
    </w:lvl>
    <w:lvl w:ilvl="6">
      <w:numFmt w:val="bullet"/>
      <w:lvlText w:val="•"/>
      <w:lvlJc w:val="left"/>
      <w:pPr>
        <w:ind w:left="2707" w:hanging="360"/>
      </w:pPr>
    </w:lvl>
    <w:lvl w:ilvl="7">
      <w:numFmt w:val="bullet"/>
      <w:lvlText w:val="•"/>
      <w:lvlJc w:val="left"/>
      <w:pPr>
        <w:ind w:left="3075" w:hanging="360"/>
      </w:pPr>
    </w:lvl>
    <w:lvl w:ilvl="8">
      <w:numFmt w:val="bullet"/>
      <w:lvlText w:val="•"/>
      <w:lvlJc w:val="left"/>
      <w:pPr>
        <w:ind w:left="3443" w:hanging="360"/>
      </w:pPr>
    </w:lvl>
  </w:abstractNum>
  <w:abstractNum w:abstractNumId="3" w15:restartNumberingAfterBreak="0">
    <w:nsid w:val="00000405"/>
    <w:multiLevelType w:val="multilevel"/>
    <w:tmpl w:val="00000888"/>
    <w:lvl w:ilvl="0">
      <w:start w:val="1"/>
      <w:numFmt w:val="decimal"/>
      <w:lvlText w:val="%1"/>
      <w:lvlJc w:val="left"/>
      <w:pPr>
        <w:ind w:left="402" w:hanging="284"/>
      </w:pPr>
      <w:rPr>
        <w:rFonts w:ascii="Calibri" w:hAnsi="Calibri" w:cs="Calibri"/>
        <w:b w:val="0"/>
        <w:bCs w:val="0"/>
        <w:w w:val="100"/>
        <w:sz w:val="16"/>
        <w:szCs w:val="16"/>
      </w:rPr>
    </w:lvl>
    <w:lvl w:ilvl="1">
      <w:numFmt w:val="bullet"/>
      <w:lvlText w:val="•"/>
      <w:lvlJc w:val="left"/>
      <w:pPr>
        <w:ind w:left="1304" w:hanging="284"/>
      </w:pPr>
    </w:lvl>
    <w:lvl w:ilvl="2">
      <w:numFmt w:val="bullet"/>
      <w:lvlText w:val="•"/>
      <w:lvlJc w:val="left"/>
      <w:pPr>
        <w:ind w:left="2209" w:hanging="284"/>
      </w:pPr>
    </w:lvl>
    <w:lvl w:ilvl="3">
      <w:numFmt w:val="bullet"/>
      <w:lvlText w:val="•"/>
      <w:lvlJc w:val="left"/>
      <w:pPr>
        <w:ind w:left="3113" w:hanging="284"/>
      </w:pPr>
    </w:lvl>
    <w:lvl w:ilvl="4">
      <w:numFmt w:val="bullet"/>
      <w:lvlText w:val="•"/>
      <w:lvlJc w:val="left"/>
      <w:pPr>
        <w:ind w:left="4018" w:hanging="284"/>
      </w:pPr>
    </w:lvl>
    <w:lvl w:ilvl="5">
      <w:numFmt w:val="bullet"/>
      <w:lvlText w:val="•"/>
      <w:lvlJc w:val="left"/>
      <w:pPr>
        <w:ind w:left="4923" w:hanging="284"/>
      </w:pPr>
    </w:lvl>
    <w:lvl w:ilvl="6">
      <w:numFmt w:val="bullet"/>
      <w:lvlText w:val="•"/>
      <w:lvlJc w:val="left"/>
      <w:pPr>
        <w:ind w:left="5827" w:hanging="284"/>
      </w:pPr>
    </w:lvl>
    <w:lvl w:ilvl="7">
      <w:numFmt w:val="bullet"/>
      <w:lvlText w:val="•"/>
      <w:lvlJc w:val="left"/>
      <w:pPr>
        <w:ind w:left="6732" w:hanging="284"/>
      </w:pPr>
    </w:lvl>
    <w:lvl w:ilvl="8">
      <w:numFmt w:val="bullet"/>
      <w:lvlText w:val="•"/>
      <w:lvlJc w:val="left"/>
      <w:pPr>
        <w:ind w:left="7637" w:hanging="284"/>
      </w:pPr>
    </w:lvl>
  </w:abstractNum>
  <w:abstractNum w:abstractNumId="4" w15:restartNumberingAfterBreak="0">
    <w:nsid w:val="00000406"/>
    <w:multiLevelType w:val="multilevel"/>
    <w:tmpl w:val="00000889"/>
    <w:lvl w:ilvl="0">
      <w:start w:val="13"/>
      <w:numFmt w:val="decimal"/>
      <w:lvlText w:val="%1"/>
      <w:lvlJc w:val="left"/>
      <w:pPr>
        <w:ind w:left="402" w:hanging="284"/>
      </w:pPr>
      <w:rPr>
        <w:rFonts w:ascii="Calibri" w:hAnsi="Calibri" w:cs="Calibri"/>
        <w:b w:val="0"/>
        <w:bCs w:val="0"/>
        <w:w w:val="100"/>
        <w:sz w:val="16"/>
        <w:szCs w:val="16"/>
      </w:rPr>
    </w:lvl>
    <w:lvl w:ilvl="1">
      <w:numFmt w:val="bullet"/>
      <w:lvlText w:val="•"/>
      <w:lvlJc w:val="left"/>
      <w:pPr>
        <w:ind w:left="3120" w:hanging="284"/>
      </w:pPr>
    </w:lvl>
    <w:lvl w:ilvl="2">
      <w:numFmt w:val="bullet"/>
      <w:lvlText w:val="•"/>
      <w:lvlJc w:val="left"/>
      <w:pPr>
        <w:ind w:left="3806" w:hanging="284"/>
      </w:pPr>
    </w:lvl>
    <w:lvl w:ilvl="3">
      <w:numFmt w:val="bullet"/>
      <w:lvlText w:val="•"/>
      <w:lvlJc w:val="left"/>
      <w:pPr>
        <w:ind w:left="4493" w:hanging="284"/>
      </w:pPr>
    </w:lvl>
    <w:lvl w:ilvl="4">
      <w:numFmt w:val="bullet"/>
      <w:lvlText w:val="•"/>
      <w:lvlJc w:val="left"/>
      <w:pPr>
        <w:ind w:left="5179" w:hanging="284"/>
      </w:pPr>
    </w:lvl>
    <w:lvl w:ilvl="5">
      <w:numFmt w:val="bullet"/>
      <w:lvlText w:val="•"/>
      <w:lvlJc w:val="left"/>
      <w:pPr>
        <w:ind w:left="5866" w:hanging="284"/>
      </w:pPr>
    </w:lvl>
    <w:lvl w:ilvl="6">
      <w:numFmt w:val="bullet"/>
      <w:lvlText w:val="•"/>
      <w:lvlJc w:val="left"/>
      <w:pPr>
        <w:ind w:left="6552" w:hanging="284"/>
      </w:pPr>
    </w:lvl>
    <w:lvl w:ilvl="7">
      <w:numFmt w:val="bullet"/>
      <w:lvlText w:val="•"/>
      <w:lvlJc w:val="left"/>
      <w:pPr>
        <w:ind w:left="7239" w:hanging="284"/>
      </w:pPr>
    </w:lvl>
    <w:lvl w:ilvl="8">
      <w:numFmt w:val="bullet"/>
      <w:lvlText w:val="•"/>
      <w:lvlJc w:val="left"/>
      <w:pPr>
        <w:ind w:left="7926" w:hanging="284"/>
      </w:pPr>
    </w:lvl>
  </w:abstractNum>
  <w:abstractNum w:abstractNumId="5" w15:restartNumberingAfterBreak="0">
    <w:nsid w:val="00000407"/>
    <w:multiLevelType w:val="multilevel"/>
    <w:tmpl w:val="0000088A"/>
    <w:lvl w:ilvl="0">
      <w:numFmt w:val="bullet"/>
      <w:lvlText w:val=""/>
      <w:lvlJc w:val="left"/>
      <w:pPr>
        <w:ind w:left="473" w:hanging="361"/>
      </w:pPr>
      <w:rPr>
        <w:rFonts w:ascii="Symbol" w:hAnsi="Symbol"/>
        <w:b w:val="0"/>
        <w:w w:val="100"/>
        <w:sz w:val="22"/>
      </w:rPr>
    </w:lvl>
    <w:lvl w:ilvl="1">
      <w:numFmt w:val="bullet"/>
      <w:lvlText w:val="-"/>
      <w:lvlJc w:val="left"/>
      <w:pPr>
        <w:ind w:left="473" w:hanging="202"/>
      </w:pPr>
      <w:rPr>
        <w:rFonts w:ascii="Calibri" w:hAnsi="Calibri"/>
        <w:b w:val="0"/>
        <w:w w:val="100"/>
        <w:sz w:val="22"/>
      </w:rPr>
    </w:lvl>
    <w:lvl w:ilvl="2">
      <w:numFmt w:val="bullet"/>
      <w:lvlText w:val="•"/>
      <w:lvlJc w:val="left"/>
      <w:pPr>
        <w:ind w:left="2365" w:hanging="202"/>
      </w:pPr>
    </w:lvl>
    <w:lvl w:ilvl="3">
      <w:numFmt w:val="bullet"/>
      <w:lvlText w:val="•"/>
      <w:lvlJc w:val="left"/>
      <w:pPr>
        <w:ind w:left="3307" w:hanging="202"/>
      </w:pPr>
    </w:lvl>
    <w:lvl w:ilvl="4">
      <w:numFmt w:val="bullet"/>
      <w:lvlText w:val="•"/>
      <w:lvlJc w:val="left"/>
      <w:pPr>
        <w:ind w:left="4250" w:hanging="202"/>
      </w:pPr>
    </w:lvl>
    <w:lvl w:ilvl="5">
      <w:numFmt w:val="bullet"/>
      <w:lvlText w:val="•"/>
      <w:lvlJc w:val="left"/>
      <w:pPr>
        <w:ind w:left="5193" w:hanging="202"/>
      </w:pPr>
    </w:lvl>
    <w:lvl w:ilvl="6">
      <w:numFmt w:val="bullet"/>
      <w:lvlText w:val="•"/>
      <w:lvlJc w:val="left"/>
      <w:pPr>
        <w:ind w:left="6135" w:hanging="202"/>
      </w:pPr>
    </w:lvl>
    <w:lvl w:ilvl="7">
      <w:numFmt w:val="bullet"/>
      <w:lvlText w:val="•"/>
      <w:lvlJc w:val="left"/>
      <w:pPr>
        <w:ind w:left="7078" w:hanging="202"/>
      </w:pPr>
    </w:lvl>
    <w:lvl w:ilvl="8">
      <w:numFmt w:val="bullet"/>
      <w:lvlText w:val="•"/>
      <w:lvlJc w:val="left"/>
      <w:pPr>
        <w:ind w:left="8021" w:hanging="202"/>
      </w:pPr>
    </w:lvl>
  </w:abstractNum>
  <w:abstractNum w:abstractNumId="6" w15:restartNumberingAfterBreak="0">
    <w:nsid w:val="00000408"/>
    <w:multiLevelType w:val="multilevel"/>
    <w:tmpl w:val="0000088B"/>
    <w:lvl w:ilvl="0">
      <w:start w:val="13"/>
      <w:numFmt w:val="decimal"/>
      <w:lvlText w:val="%1"/>
      <w:lvlJc w:val="left"/>
      <w:pPr>
        <w:ind w:left="769" w:hanging="657"/>
      </w:pPr>
      <w:rPr>
        <w:rFonts w:cs="Times New Roman"/>
      </w:rPr>
    </w:lvl>
    <w:lvl w:ilvl="1">
      <w:numFmt w:val="decimalZero"/>
      <w:lvlText w:val="%1.%2"/>
      <w:lvlJc w:val="left"/>
      <w:pPr>
        <w:ind w:left="769" w:hanging="657"/>
      </w:pPr>
      <w:rPr>
        <w:rFonts w:ascii="Calibri" w:hAnsi="Calibri" w:cs="Calibri"/>
        <w:b w:val="0"/>
        <w:bCs w:val="0"/>
        <w:spacing w:val="-3"/>
        <w:w w:val="100"/>
        <w:sz w:val="22"/>
        <w:szCs w:val="22"/>
      </w:rPr>
    </w:lvl>
    <w:lvl w:ilvl="2">
      <w:numFmt w:val="bullet"/>
      <w:lvlText w:val=""/>
      <w:lvlJc w:val="left"/>
      <w:pPr>
        <w:ind w:left="833" w:hanging="360"/>
      </w:pPr>
      <w:rPr>
        <w:rFonts w:ascii="Symbol" w:hAnsi="Symbol"/>
        <w:b w:val="0"/>
        <w:w w:val="100"/>
        <w:sz w:val="22"/>
      </w:rPr>
    </w:lvl>
    <w:lvl w:ilvl="3">
      <w:numFmt w:val="bullet"/>
      <w:lvlText w:val="•"/>
      <w:lvlJc w:val="left"/>
      <w:pPr>
        <w:ind w:left="2854" w:hanging="360"/>
      </w:pPr>
    </w:lvl>
    <w:lvl w:ilvl="4">
      <w:numFmt w:val="bullet"/>
      <w:lvlText w:val="•"/>
      <w:lvlJc w:val="left"/>
      <w:pPr>
        <w:ind w:left="3862" w:hanging="360"/>
      </w:pPr>
    </w:lvl>
    <w:lvl w:ilvl="5">
      <w:numFmt w:val="bullet"/>
      <w:lvlText w:val="•"/>
      <w:lvlJc w:val="left"/>
      <w:pPr>
        <w:ind w:left="4869" w:hanging="360"/>
      </w:pPr>
    </w:lvl>
    <w:lvl w:ilvl="6">
      <w:numFmt w:val="bullet"/>
      <w:lvlText w:val="•"/>
      <w:lvlJc w:val="left"/>
      <w:pPr>
        <w:ind w:left="5876" w:hanging="360"/>
      </w:pPr>
    </w:lvl>
    <w:lvl w:ilvl="7">
      <w:numFmt w:val="bullet"/>
      <w:lvlText w:val="•"/>
      <w:lvlJc w:val="left"/>
      <w:pPr>
        <w:ind w:left="6884" w:hanging="360"/>
      </w:pPr>
    </w:lvl>
    <w:lvl w:ilvl="8">
      <w:numFmt w:val="bullet"/>
      <w:lvlText w:val="•"/>
      <w:lvlJc w:val="left"/>
      <w:pPr>
        <w:ind w:left="7891" w:hanging="360"/>
      </w:pPr>
    </w:lvl>
  </w:abstractNum>
  <w:abstractNum w:abstractNumId="7" w15:restartNumberingAfterBreak="0">
    <w:nsid w:val="00000409"/>
    <w:multiLevelType w:val="multilevel"/>
    <w:tmpl w:val="0000088C"/>
    <w:lvl w:ilvl="0">
      <w:numFmt w:val="bullet"/>
      <w:lvlText w:val="•"/>
      <w:lvlJc w:val="left"/>
      <w:pPr>
        <w:ind w:left="112" w:hanging="175"/>
      </w:pPr>
      <w:rPr>
        <w:rFonts w:ascii="Calibri" w:hAnsi="Calibri"/>
        <w:b/>
        <w:w w:val="100"/>
        <w:sz w:val="22"/>
      </w:rPr>
    </w:lvl>
    <w:lvl w:ilvl="1">
      <w:numFmt w:val="bullet"/>
      <w:lvlText w:val="•"/>
      <w:lvlJc w:val="left"/>
      <w:pPr>
        <w:ind w:left="1098" w:hanging="175"/>
      </w:pPr>
    </w:lvl>
    <w:lvl w:ilvl="2">
      <w:numFmt w:val="bullet"/>
      <w:lvlText w:val="•"/>
      <w:lvlJc w:val="left"/>
      <w:pPr>
        <w:ind w:left="2077" w:hanging="175"/>
      </w:pPr>
    </w:lvl>
    <w:lvl w:ilvl="3">
      <w:numFmt w:val="bullet"/>
      <w:lvlText w:val="•"/>
      <w:lvlJc w:val="left"/>
      <w:pPr>
        <w:ind w:left="3055" w:hanging="175"/>
      </w:pPr>
    </w:lvl>
    <w:lvl w:ilvl="4">
      <w:numFmt w:val="bullet"/>
      <w:lvlText w:val="•"/>
      <w:lvlJc w:val="left"/>
      <w:pPr>
        <w:ind w:left="4034" w:hanging="175"/>
      </w:pPr>
    </w:lvl>
    <w:lvl w:ilvl="5">
      <w:numFmt w:val="bullet"/>
      <w:lvlText w:val="•"/>
      <w:lvlJc w:val="left"/>
      <w:pPr>
        <w:ind w:left="5013" w:hanging="175"/>
      </w:pPr>
    </w:lvl>
    <w:lvl w:ilvl="6">
      <w:numFmt w:val="bullet"/>
      <w:lvlText w:val="•"/>
      <w:lvlJc w:val="left"/>
      <w:pPr>
        <w:ind w:left="5991" w:hanging="175"/>
      </w:pPr>
    </w:lvl>
    <w:lvl w:ilvl="7">
      <w:numFmt w:val="bullet"/>
      <w:lvlText w:val="•"/>
      <w:lvlJc w:val="left"/>
      <w:pPr>
        <w:ind w:left="6970" w:hanging="175"/>
      </w:pPr>
    </w:lvl>
    <w:lvl w:ilvl="8">
      <w:numFmt w:val="bullet"/>
      <w:lvlText w:val="•"/>
      <w:lvlJc w:val="left"/>
      <w:pPr>
        <w:ind w:left="7949" w:hanging="175"/>
      </w:pPr>
    </w:lvl>
  </w:abstractNum>
  <w:abstractNum w:abstractNumId="8" w15:restartNumberingAfterBreak="0">
    <w:nsid w:val="0000040A"/>
    <w:multiLevelType w:val="multilevel"/>
    <w:tmpl w:val="0000088D"/>
    <w:lvl w:ilvl="0">
      <w:numFmt w:val="bullet"/>
      <w:lvlText w:val="•"/>
      <w:lvlJc w:val="left"/>
      <w:pPr>
        <w:ind w:left="112" w:hanging="212"/>
      </w:pPr>
      <w:rPr>
        <w:rFonts w:ascii="Calibri" w:hAnsi="Calibri"/>
        <w:b w:val="0"/>
        <w:w w:val="100"/>
        <w:sz w:val="22"/>
      </w:rPr>
    </w:lvl>
    <w:lvl w:ilvl="1">
      <w:numFmt w:val="bullet"/>
      <w:lvlText w:val="•"/>
      <w:lvlJc w:val="left"/>
      <w:pPr>
        <w:ind w:left="1098" w:hanging="212"/>
      </w:pPr>
    </w:lvl>
    <w:lvl w:ilvl="2">
      <w:numFmt w:val="bullet"/>
      <w:lvlText w:val="•"/>
      <w:lvlJc w:val="left"/>
      <w:pPr>
        <w:ind w:left="2077" w:hanging="212"/>
      </w:pPr>
    </w:lvl>
    <w:lvl w:ilvl="3">
      <w:numFmt w:val="bullet"/>
      <w:lvlText w:val="•"/>
      <w:lvlJc w:val="left"/>
      <w:pPr>
        <w:ind w:left="3055" w:hanging="212"/>
      </w:pPr>
    </w:lvl>
    <w:lvl w:ilvl="4">
      <w:numFmt w:val="bullet"/>
      <w:lvlText w:val="•"/>
      <w:lvlJc w:val="left"/>
      <w:pPr>
        <w:ind w:left="4034" w:hanging="212"/>
      </w:pPr>
    </w:lvl>
    <w:lvl w:ilvl="5">
      <w:numFmt w:val="bullet"/>
      <w:lvlText w:val="•"/>
      <w:lvlJc w:val="left"/>
      <w:pPr>
        <w:ind w:left="5013" w:hanging="212"/>
      </w:pPr>
    </w:lvl>
    <w:lvl w:ilvl="6">
      <w:numFmt w:val="bullet"/>
      <w:lvlText w:val="•"/>
      <w:lvlJc w:val="left"/>
      <w:pPr>
        <w:ind w:left="5991" w:hanging="212"/>
      </w:pPr>
    </w:lvl>
    <w:lvl w:ilvl="7">
      <w:numFmt w:val="bullet"/>
      <w:lvlText w:val="•"/>
      <w:lvlJc w:val="left"/>
      <w:pPr>
        <w:ind w:left="6970" w:hanging="212"/>
      </w:pPr>
    </w:lvl>
    <w:lvl w:ilvl="8">
      <w:numFmt w:val="bullet"/>
      <w:lvlText w:val="•"/>
      <w:lvlJc w:val="left"/>
      <w:pPr>
        <w:ind w:left="7949" w:hanging="212"/>
      </w:pPr>
    </w:lvl>
  </w:abstractNum>
  <w:abstractNum w:abstractNumId="9" w15:restartNumberingAfterBreak="0">
    <w:nsid w:val="0000040B"/>
    <w:multiLevelType w:val="multilevel"/>
    <w:tmpl w:val="0000088E"/>
    <w:lvl w:ilvl="0">
      <w:numFmt w:val="bullet"/>
      <w:lvlText w:val=""/>
      <w:lvlJc w:val="left"/>
      <w:pPr>
        <w:ind w:left="833" w:hanging="360"/>
      </w:pPr>
      <w:rPr>
        <w:rFonts w:ascii="Symbol" w:hAnsi="Symbol"/>
        <w:b w:val="0"/>
        <w:w w:val="100"/>
        <w:sz w:val="22"/>
      </w:rPr>
    </w:lvl>
    <w:lvl w:ilvl="1">
      <w:numFmt w:val="bullet"/>
      <w:lvlText w:val="•"/>
      <w:lvlJc w:val="left"/>
      <w:pPr>
        <w:ind w:left="1746" w:hanging="360"/>
      </w:pPr>
    </w:lvl>
    <w:lvl w:ilvl="2">
      <w:numFmt w:val="bullet"/>
      <w:lvlText w:val="•"/>
      <w:lvlJc w:val="left"/>
      <w:pPr>
        <w:ind w:left="2653" w:hanging="360"/>
      </w:pPr>
    </w:lvl>
    <w:lvl w:ilvl="3">
      <w:numFmt w:val="bullet"/>
      <w:lvlText w:val="•"/>
      <w:lvlJc w:val="left"/>
      <w:pPr>
        <w:ind w:left="3559" w:hanging="360"/>
      </w:pPr>
    </w:lvl>
    <w:lvl w:ilvl="4">
      <w:numFmt w:val="bullet"/>
      <w:lvlText w:val="•"/>
      <w:lvlJc w:val="left"/>
      <w:pPr>
        <w:ind w:left="4466" w:hanging="360"/>
      </w:pPr>
    </w:lvl>
    <w:lvl w:ilvl="5">
      <w:numFmt w:val="bullet"/>
      <w:lvlText w:val="•"/>
      <w:lvlJc w:val="left"/>
      <w:pPr>
        <w:ind w:left="5373" w:hanging="360"/>
      </w:pPr>
    </w:lvl>
    <w:lvl w:ilvl="6">
      <w:numFmt w:val="bullet"/>
      <w:lvlText w:val="•"/>
      <w:lvlJc w:val="left"/>
      <w:pPr>
        <w:ind w:left="6279" w:hanging="360"/>
      </w:pPr>
    </w:lvl>
    <w:lvl w:ilvl="7">
      <w:numFmt w:val="bullet"/>
      <w:lvlText w:val="•"/>
      <w:lvlJc w:val="left"/>
      <w:pPr>
        <w:ind w:left="7186" w:hanging="360"/>
      </w:pPr>
    </w:lvl>
    <w:lvl w:ilvl="8">
      <w:numFmt w:val="bullet"/>
      <w:lvlText w:val="•"/>
      <w:lvlJc w:val="left"/>
      <w:pPr>
        <w:ind w:left="8093" w:hanging="360"/>
      </w:pPr>
    </w:lvl>
  </w:abstractNum>
  <w:abstractNum w:abstractNumId="10" w15:restartNumberingAfterBreak="0">
    <w:nsid w:val="0000040C"/>
    <w:multiLevelType w:val="multilevel"/>
    <w:tmpl w:val="0000088F"/>
    <w:lvl w:ilvl="0">
      <w:start w:val="1"/>
      <w:numFmt w:val="decimal"/>
      <w:lvlText w:val="%1."/>
      <w:lvlJc w:val="left"/>
      <w:pPr>
        <w:ind w:left="838" w:hanging="360"/>
      </w:pPr>
      <w:rPr>
        <w:rFonts w:cs="Times New Roman"/>
        <w:b w:val="0"/>
        <w:bCs w:val="0"/>
        <w:w w:val="100"/>
      </w:rPr>
    </w:lvl>
    <w:lvl w:ilvl="1">
      <w:numFmt w:val="bullet"/>
      <w:lvlText w:val="•"/>
      <w:lvlJc w:val="left"/>
      <w:pPr>
        <w:ind w:left="1685" w:hanging="360"/>
      </w:pPr>
    </w:lvl>
    <w:lvl w:ilvl="2">
      <w:numFmt w:val="bullet"/>
      <w:lvlText w:val="•"/>
      <w:lvlJc w:val="left"/>
      <w:pPr>
        <w:ind w:left="2531" w:hanging="360"/>
      </w:pPr>
    </w:lvl>
    <w:lvl w:ilvl="3">
      <w:numFmt w:val="bullet"/>
      <w:lvlText w:val="•"/>
      <w:lvlJc w:val="left"/>
      <w:pPr>
        <w:ind w:left="3377" w:hanging="360"/>
      </w:pPr>
    </w:lvl>
    <w:lvl w:ilvl="4">
      <w:numFmt w:val="bullet"/>
      <w:lvlText w:val="•"/>
      <w:lvlJc w:val="left"/>
      <w:pPr>
        <w:ind w:left="4223" w:hanging="360"/>
      </w:pPr>
    </w:lvl>
    <w:lvl w:ilvl="5">
      <w:numFmt w:val="bullet"/>
      <w:lvlText w:val="•"/>
      <w:lvlJc w:val="left"/>
      <w:pPr>
        <w:ind w:left="5069" w:hanging="360"/>
      </w:pPr>
    </w:lvl>
    <w:lvl w:ilvl="6">
      <w:numFmt w:val="bullet"/>
      <w:lvlText w:val="•"/>
      <w:lvlJc w:val="left"/>
      <w:pPr>
        <w:ind w:left="5915" w:hanging="360"/>
      </w:pPr>
    </w:lvl>
    <w:lvl w:ilvl="7">
      <w:numFmt w:val="bullet"/>
      <w:lvlText w:val="•"/>
      <w:lvlJc w:val="left"/>
      <w:pPr>
        <w:ind w:left="6761" w:hanging="360"/>
      </w:pPr>
    </w:lvl>
    <w:lvl w:ilvl="8">
      <w:numFmt w:val="bullet"/>
      <w:lvlText w:val="•"/>
      <w:lvlJc w:val="left"/>
      <w:pPr>
        <w:ind w:left="7607" w:hanging="360"/>
      </w:pPr>
    </w:lvl>
  </w:abstractNum>
  <w:abstractNum w:abstractNumId="11" w15:restartNumberingAfterBreak="0">
    <w:nsid w:val="6FA14638"/>
    <w:multiLevelType w:val="hybridMultilevel"/>
    <w:tmpl w:val="0C94F2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5BF"/>
    <w:rsid w:val="000A1AED"/>
    <w:rsid w:val="001220F4"/>
    <w:rsid w:val="003A788D"/>
    <w:rsid w:val="00460BDE"/>
    <w:rsid w:val="004A08C1"/>
    <w:rsid w:val="00573DC1"/>
    <w:rsid w:val="005C4193"/>
    <w:rsid w:val="00635E6E"/>
    <w:rsid w:val="006A0B32"/>
    <w:rsid w:val="007045BF"/>
    <w:rsid w:val="008709E7"/>
    <w:rsid w:val="008A2701"/>
    <w:rsid w:val="009A2BE1"/>
    <w:rsid w:val="00A04382"/>
    <w:rsid w:val="00A97004"/>
    <w:rsid w:val="00AA2BBA"/>
    <w:rsid w:val="00B4147C"/>
    <w:rsid w:val="00B443F2"/>
    <w:rsid w:val="00C737FB"/>
    <w:rsid w:val="00CC474E"/>
    <w:rsid w:val="00CD45D7"/>
    <w:rsid w:val="00E57CD6"/>
    <w:rsid w:val="00ED2F52"/>
    <w:rsid w:val="00F009ED"/>
    <w:rsid w:val="00F4397C"/>
    <w:rsid w:val="00F440F6"/>
    <w:rsid w:val="00F520AB"/>
    <w:rsid w:val="00F738EB"/>
    <w:rsid w:val="00FA6D05"/>
    <w:rsid w:val="00FB5F62"/>
    <w:rsid w:val="00FC7FEF"/>
    <w:rsid w:val="00FE09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39DC32"/>
  <w14:defaultImageDpi w14:val="0"/>
  <w15:docId w15:val="{27CB4A6D-C8B6-415E-934F-7A1C275BC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autoSpaceDE w:val="0"/>
      <w:autoSpaceDN w:val="0"/>
      <w:adjustRightInd w:val="0"/>
      <w:spacing w:after="0" w:line="240" w:lineRule="auto"/>
    </w:pPr>
    <w:rPr>
      <w:rFonts w:ascii="Calibri" w:hAnsi="Calibri" w:cs="Calibri"/>
    </w:rPr>
  </w:style>
  <w:style w:type="paragraph" w:styleId="Titolo1">
    <w:name w:val="heading 1"/>
    <w:basedOn w:val="Normale"/>
    <w:next w:val="Normale"/>
    <w:link w:val="Titolo1Carattere"/>
    <w:uiPriority w:val="1"/>
    <w:qFormat/>
    <w:pPr>
      <w:spacing w:before="44"/>
      <w:ind w:left="2037" w:right="2075"/>
      <w:jc w:val="center"/>
      <w:outlineLvl w:val="0"/>
    </w:pPr>
    <w:rPr>
      <w:b/>
      <w:bCs/>
      <w:sz w:val="28"/>
      <w:szCs w:val="28"/>
    </w:rPr>
  </w:style>
  <w:style w:type="paragraph" w:styleId="Titolo2">
    <w:name w:val="heading 2"/>
    <w:basedOn w:val="Normale"/>
    <w:next w:val="Normale"/>
    <w:link w:val="Titolo2Carattere"/>
    <w:uiPriority w:val="1"/>
    <w:qFormat/>
    <w:pPr>
      <w:spacing w:line="293" w:lineRule="exact"/>
      <w:ind w:left="112"/>
      <w:jc w:val="both"/>
      <w:outlineLvl w:val="1"/>
    </w:pPr>
    <w:rPr>
      <w:b/>
      <w:bCs/>
      <w:sz w:val="24"/>
      <w:szCs w:val="24"/>
    </w:rPr>
  </w:style>
  <w:style w:type="paragraph" w:styleId="Titolo3">
    <w:name w:val="heading 3"/>
    <w:basedOn w:val="Normale"/>
    <w:next w:val="Normale"/>
    <w:link w:val="Titolo3Carattere"/>
    <w:uiPriority w:val="1"/>
    <w:qFormat/>
    <w:pPr>
      <w:ind w:left="112"/>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character" w:customStyle="1" w:styleId="Titolo3Carattere">
    <w:name w:val="Titolo 3 Carattere"/>
    <w:basedOn w:val="Carpredefinitoparagrafo"/>
    <w:link w:val="Titolo3"/>
    <w:uiPriority w:val="9"/>
    <w:semiHidden/>
    <w:locked/>
    <w:rPr>
      <w:rFonts w:asciiTheme="majorHAnsi" w:eastAsiaTheme="majorEastAsia" w:hAnsiTheme="majorHAnsi" w:cs="Times New Roman"/>
      <w:b/>
      <w:bCs/>
      <w:sz w:val="26"/>
      <w:szCs w:val="26"/>
    </w:rPr>
  </w:style>
  <w:style w:type="paragraph" w:styleId="Corpotesto">
    <w:name w:val="Body Text"/>
    <w:basedOn w:val="Normale"/>
    <w:link w:val="CorpotestoCarattere"/>
    <w:uiPriority w:val="1"/>
    <w:qFormat/>
  </w:style>
  <w:style w:type="character" w:customStyle="1" w:styleId="CorpotestoCarattere">
    <w:name w:val="Corpo testo Carattere"/>
    <w:basedOn w:val="Carpredefinitoparagrafo"/>
    <w:link w:val="Corpotesto"/>
    <w:uiPriority w:val="99"/>
    <w:semiHidden/>
    <w:locked/>
    <w:rPr>
      <w:rFonts w:ascii="Calibri" w:hAnsi="Calibri" w:cs="Calibri"/>
    </w:rPr>
  </w:style>
  <w:style w:type="paragraph" w:styleId="Paragrafoelenco">
    <w:name w:val="List Paragraph"/>
    <w:basedOn w:val="Normale"/>
    <w:uiPriority w:val="1"/>
    <w:qFormat/>
    <w:pPr>
      <w:ind w:left="402" w:hanging="361"/>
    </w:pPr>
    <w:rPr>
      <w:sz w:val="24"/>
      <w:szCs w:val="24"/>
    </w:rPr>
  </w:style>
  <w:style w:type="paragraph" w:customStyle="1" w:styleId="TableParagraph">
    <w:name w:val="Table Paragraph"/>
    <w:basedOn w:val="Normale"/>
    <w:uiPriority w:val="1"/>
    <w:qFormat/>
    <w:rPr>
      <w:rFonts w:ascii="Times New Roman" w:hAnsi="Times New Roman" w:cs="Times New Roman"/>
      <w:sz w:val="24"/>
      <w:szCs w:val="24"/>
    </w:rPr>
  </w:style>
  <w:style w:type="paragraph" w:styleId="Intestazione">
    <w:name w:val="header"/>
    <w:basedOn w:val="Normale"/>
    <w:link w:val="IntestazioneCarattere"/>
    <w:uiPriority w:val="99"/>
    <w:unhideWhenUsed/>
    <w:rsid w:val="007045BF"/>
    <w:pPr>
      <w:tabs>
        <w:tab w:val="center" w:pos="4819"/>
        <w:tab w:val="right" w:pos="9638"/>
      </w:tabs>
    </w:pPr>
  </w:style>
  <w:style w:type="character" w:customStyle="1" w:styleId="IntestazioneCarattere">
    <w:name w:val="Intestazione Carattere"/>
    <w:basedOn w:val="Carpredefinitoparagrafo"/>
    <w:link w:val="Intestazione"/>
    <w:uiPriority w:val="99"/>
    <w:locked/>
    <w:rsid w:val="007045BF"/>
    <w:rPr>
      <w:rFonts w:ascii="Calibri" w:hAnsi="Calibri" w:cs="Calibri"/>
    </w:rPr>
  </w:style>
  <w:style w:type="paragraph" w:styleId="Pidipagina">
    <w:name w:val="footer"/>
    <w:basedOn w:val="Normale"/>
    <w:link w:val="PidipaginaCarattere"/>
    <w:uiPriority w:val="99"/>
    <w:unhideWhenUsed/>
    <w:rsid w:val="007045BF"/>
    <w:pPr>
      <w:tabs>
        <w:tab w:val="center" w:pos="4819"/>
        <w:tab w:val="right" w:pos="9638"/>
      </w:tabs>
    </w:pPr>
  </w:style>
  <w:style w:type="character" w:customStyle="1" w:styleId="PidipaginaCarattere">
    <w:name w:val="Piè di pagina Carattere"/>
    <w:basedOn w:val="Carpredefinitoparagrafo"/>
    <w:link w:val="Pidipagina"/>
    <w:uiPriority w:val="99"/>
    <w:locked/>
    <w:rsid w:val="007045B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irc.it/cancro/informazioni-tumori/guida-ai-tumori/linfoma-di-hodgk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03ac5bc8-a729-4fd2-9278-917130bed417" value=""/>
</sisl>
</file>

<file path=customXml/itemProps1.xml><?xml version="1.0" encoding="utf-8"?>
<ds:datastoreItem xmlns:ds="http://schemas.openxmlformats.org/officeDocument/2006/customXml" ds:itemID="{AED1E47D-1F68-40B1-BC3A-254C3A9DCA8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802</Words>
  <Characters>4725</Characters>
  <Application>Microsoft Office Word</Application>
  <DocSecurity>0</DocSecurity>
  <Lines>39</Lines>
  <Paragraphs>11</Paragraphs>
  <ScaleCrop>false</ScaleCrop>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nicastro</dc:creator>
  <cp:keywords/>
  <dc:description/>
  <cp:lastModifiedBy>Paolo Cabra - Intermedia</cp:lastModifiedBy>
  <cp:revision>6</cp:revision>
  <dcterms:created xsi:type="dcterms:W3CDTF">2019-12-12T11:15:00Z</dcterms:created>
  <dcterms:modified xsi:type="dcterms:W3CDTF">2019-12-12T12:42:00Z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Office 365</vt:lpwstr>
  </property>
  <property fmtid="{D5CDD505-2E9C-101B-9397-08002B2CF9AE}" pid="3" name="docIndexRef">
    <vt:lpwstr>5234d4b7-25f1-47ef-8232-c338c35959ad</vt:lpwstr>
  </property>
  <property fmtid="{D5CDD505-2E9C-101B-9397-08002B2CF9AE}" pid="4" name="bjSaver">
    <vt:lpwstr>LwDemf85Soj+U7bf0EXAFYb27qADOdre</vt:lpwstr>
  </property>
  <property fmtid="{D5CDD505-2E9C-101B-9397-08002B2CF9AE}" pid="5"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6" name="bjDocumentLabelXML-0">
    <vt:lpwstr>ames.com/2008/01/sie/internal/label"&gt;&lt;element uid="03ac5bc8-a729-4fd2-9278-917130bed417" value="" /&gt;&lt;/sisl&gt;</vt:lpwstr>
  </property>
  <property fmtid="{D5CDD505-2E9C-101B-9397-08002B2CF9AE}" pid="7" name="bjDocumentSecurityLabel">
    <vt:lpwstr>Non Classificato-Not Classified</vt:lpwstr>
  </property>
</Properties>
</file>