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9E7" w:rsidRDefault="002B3C15" w:rsidP="00332E2E">
      <w:pPr>
        <w:pStyle w:val="Corpotesto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29765" cy="5105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9E7" w:rsidRDefault="008709E7">
      <w:pPr>
        <w:pStyle w:val="Corpotesto"/>
        <w:kinsoku w:val="0"/>
        <w:overflowPunct w:val="0"/>
        <w:rPr>
          <w:sz w:val="27"/>
          <w:szCs w:val="27"/>
        </w:rPr>
      </w:pPr>
    </w:p>
    <w:p w:rsidR="008709E7" w:rsidRPr="00C6755E" w:rsidRDefault="008709E7" w:rsidP="00332E2E">
      <w:pPr>
        <w:pStyle w:val="Titolo1"/>
        <w:kinsoku w:val="0"/>
        <w:overflowPunct w:val="0"/>
        <w:spacing w:before="0"/>
        <w:ind w:left="0" w:right="0"/>
      </w:pPr>
      <w:bookmarkStart w:id="0" w:name="7._Tumore_uroteliale"/>
      <w:bookmarkEnd w:id="0"/>
      <w:r w:rsidRPr="00C6755E">
        <w:t>TUMORE UROTELIALE (VESCICA E VIE ESCRETRICI)</w:t>
      </w:r>
    </w:p>
    <w:p w:rsidR="00332E2E" w:rsidRPr="00C6755E" w:rsidRDefault="00332E2E" w:rsidP="00332E2E">
      <w:pPr>
        <w:pStyle w:val="Corpotesto"/>
        <w:kinsoku w:val="0"/>
        <w:overflowPunct w:val="0"/>
        <w:jc w:val="both"/>
        <w:rPr>
          <w:b/>
          <w:bCs/>
          <w:sz w:val="28"/>
          <w:szCs w:val="28"/>
        </w:rPr>
      </w:pPr>
    </w:p>
    <w:p w:rsidR="00A6090F" w:rsidRPr="00C6755E" w:rsidRDefault="00A6090F" w:rsidP="00332E2E">
      <w:pPr>
        <w:pStyle w:val="Corpotesto"/>
        <w:kinsoku w:val="0"/>
        <w:overflowPunct w:val="0"/>
        <w:jc w:val="both"/>
        <w:rPr>
          <w:b/>
          <w:bCs/>
          <w:sz w:val="28"/>
          <w:szCs w:val="28"/>
        </w:rPr>
      </w:pPr>
    </w:p>
    <w:p w:rsidR="008709E7" w:rsidRPr="00C6755E" w:rsidRDefault="008709E7" w:rsidP="00332E2E">
      <w:pPr>
        <w:pStyle w:val="Titolo2"/>
        <w:kinsoku w:val="0"/>
        <w:overflowPunct w:val="0"/>
        <w:spacing w:line="240" w:lineRule="auto"/>
        <w:ind w:left="0"/>
      </w:pPr>
      <w:r w:rsidRPr="00C6755E">
        <w:t>Cos’è il tumore</w:t>
      </w:r>
      <w:r w:rsidRPr="00C6755E">
        <w:rPr>
          <w:spacing w:val="-14"/>
        </w:rPr>
        <w:t xml:space="preserve"> </w:t>
      </w:r>
      <w:r w:rsidRPr="00C6755E">
        <w:t>dell’</w:t>
      </w:r>
      <w:proofErr w:type="spellStart"/>
      <w:r w:rsidRPr="00C6755E">
        <w:t>urotelio</w:t>
      </w:r>
      <w:proofErr w:type="spellEnd"/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 xml:space="preserve">I carcinomi </w:t>
      </w:r>
      <w:proofErr w:type="spellStart"/>
      <w:r w:rsidRPr="00C6755E">
        <w:t>uroteliali</w:t>
      </w:r>
      <w:proofErr w:type="spellEnd"/>
      <w:r w:rsidRPr="00C6755E">
        <w:t xml:space="preserve"> rappresentano il principale tumore di tutta la via escretrice urinaria, dalla pelvi renale all’uretra. Il 90% dei carcinomi </w:t>
      </w:r>
      <w:proofErr w:type="spellStart"/>
      <w:r w:rsidRPr="00C6755E">
        <w:t>uroteliali</w:t>
      </w:r>
      <w:proofErr w:type="spellEnd"/>
      <w:r w:rsidRPr="00C6755E">
        <w:t xml:space="preserve"> è costituito dal tumore della vescica (il 5-10% è rappresentato dai tumori delle alte vie</w:t>
      </w:r>
      <w:r w:rsidRPr="00C6755E">
        <w:rPr>
          <w:spacing w:val="-5"/>
        </w:rPr>
        <w:t xml:space="preserve"> </w:t>
      </w:r>
      <w:r w:rsidRPr="00C6755E">
        <w:t>escretrici).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>La</w:t>
      </w:r>
      <w:r w:rsidRPr="00C6755E">
        <w:rPr>
          <w:spacing w:val="-14"/>
        </w:rPr>
        <w:t xml:space="preserve"> </w:t>
      </w:r>
      <w:r w:rsidRPr="00C6755E">
        <w:t>vescica</w:t>
      </w:r>
      <w:r w:rsidRPr="00C6755E">
        <w:rPr>
          <w:spacing w:val="-13"/>
        </w:rPr>
        <w:t xml:space="preserve"> </w:t>
      </w:r>
      <w:r w:rsidRPr="00C6755E">
        <w:t>è</w:t>
      </w:r>
      <w:r w:rsidRPr="00C6755E">
        <w:rPr>
          <w:spacing w:val="-10"/>
        </w:rPr>
        <w:t xml:space="preserve"> </w:t>
      </w:r>
      <w:r w:rsidRPr="00C6755E">
        <w:t>un</w:t>
      </w:r>
      <w:r w:rsidRPr="00C6755E">
        <w:rPr>
          <w:spacing w:val="-15"/>
        </w:rPr>
        <w:t xml:space="preserve"> </w:t>
      </w:r>
      <w:r w:rsidRPr="00C6755E">
        <w:t>organo</w:t>
      </w:r>
      <w:r w:rsidRPr="00C6755E">
        <w:rPr>
          <w:spacing w:val="-12"/>
        </w:rPr>
        <w:t xml:space="preserve"> </w:t>
      </w:r>
      <w:r w:rsidRPr="00C6755E">
        <w:t>muscolare</w:t>
      </w:r>
      <w:r w:rsidRPr="00C6755E">
        <w:rPr>
          <w:spacing w:val="-11"/>
        </w:rPr>
        <w:t xml:space="preserve"> </w:t>
      </w:r>
      <w:r w:rsidRPr="00C6755E">
        <w:t>cavo,</w:t>
      </w:r>
      <w:r w:rsidRPr="00C6755E">
        <w:rPr>
          <w:spacing w:val="-10"/>
        </w:rPr>
        <w:t xml:space="preserve"> </w:t>
      </w:r>
      <w:r w:rsidRPr="00C6755E">
        <w:t>posto</w:t>
      </w:r>
      <w:r w:rsidRPr="00C6755E">
        <w:rPr>
          <w:spacing w:val="-10"/>
        </w:rPr>
        <w:t xml:space="preserve"> </w:t>
      </w:r>
      <w:r w:rsidRPr="00C6755E">
        <w:t>nel</w:t>
      </w:r>
      <w:r w:rsidRPr="00C6755E">
        <w:rPr>
          <w:spacing w:val="-10"/>
        </w:rPr>
        <w:t xml:space="preserve"> </w:t>
      </w:r>
      <w:r w:rsidRPr="00C6755E">
        <w:t>bacino</w:t>
      </w:r>
      <w:r w:rsidRPr="00C6755E">
        <w:rPr>
          <w:spacing w:val="-12"/>
        </w:rPr>
        <w:t xml:space="preserve"> </w:t>
      </w:r>
      <w:r w:rsidRPr="00C6755E">
        <w:t>e</w:t>
      </w:r>
      <w:r w:rsidRPr="00C6755E">
        <w:rPr>
          <w:spacing w:val="-11"/>
        </w:rPr>
        <w:t xml:space="preserve"> </w:t>
      </w:r>
      <w:r w:rsidRPr="00C6755E">
        <w:t>che</w:t>
      </w:r>
      <w:r w:rsidRPr="00C6755E">
        <w:rPr>
          <w:spacing w:val="-10"/>
        </w:rPr>
        <w:t xml:space="preserve"> </w:t>
      </w:r>
      <w:r w:rsidRPr="00C6755E">
        <w:t>fa</w:t>
      </w:r>
      <w:r w:rsidRPr="00C6755E">
        <w:rPr>
          <w:spacing w:val="-13"/>
        </w:rPr>
        <w:t xml:space="preserve"> </w:t>
      </w:r>
      <w:r w:rsidRPr="00C6755E">
        <w:t>parte</w:t>
      </w:r>
      <w:r w:rsidRPr="00C6755E">
        <w:rPr>
          <w:spacing w:val="-11"/>
        </w:rPr>
        <w:t xml:space="preserve"> </w:t>
      </w:r>
      <w:r w:rsidRPr="00C6755E">
        <w:t>dell’apparato</w:t>
      </w:r>
      <w:r w:rsidRPr="00C6755E">
        <w:rPr>
          <w:spacing w:val="-12"/>
        </w:rPr>
        <w:t xml:space="preserve"> </w:t>
      </w:r>
      <w:r w:rsidRPr="00C6755E">
        <w:t>urinario.</w:t>
      </w:r>
      <w:r w:rsidRPr="00C6755E">
        <w:rPr>
          <w:spacing w:val="-10"/>
        </w:rPr>
        <w:t xml:space="preserve"> </w:t>
      </w:r>
      <w:r w:rsidRPr="00C6755E">
        <w:t>Il</w:t>
      </w:r>
      <w:r w:rsidRPr="00C6755E">
        <w:rPr>
          <w:spacing w:val="-13"/>
        </w:rPr>
        <w:t xml:space="preserve"> </w:t>
      </w:r>
      <w:r w:rsidRPr="00C6755E">
        <w:t>suo</w:t>
      </w:r>
      <w:r w:rsidRPr="00C6755E">
        <w:rPr>
          <w:spacing w:val="-13"/>
        </w:rPr>
        <w:t xml:space="preserve"> </w:t>
      </w:r>
      <w:r w:rsidRPr="00C6755E">
        <w:t>principale scopo è raccogliere l’urina</w:t>
      </w:r>
      <w:r w:rsidR="00AB3EA6">
        <w:t>,</w:t>
      </w:r>
      <w:r w:rsidRPr="00C6755E">
        <w:t xml:space="preserve"> che viene filtrata dai reni prima di essere eliminata attraverso l’uretra. La parete della</w:t>
      </w:r>
      <w:r w:rsidRPr="00C6755E">
        <w:rPr>
          <w:spacing w:val="-3"/>
        </w:rPr>
        <w:t xml:space="preserve"> </w:t>
      </w:r>
      <w:r w:rsidRPr="00C6755E">
        <w:t>vescica,</w:t>
      </w:r>
      <w:r w:rsidRPr="00C6755E">
        <w:rPr>
          <w:spacing w:val="-2"/>
        </w:rPr>
        <w:t xml:space="preserve"> </w:t>
      </w:r>
      <w:r w:rsidRPr="00C6755E">
        <w:t>dell’uretere,</w:t>
      </w:r>
      <w:r w:rsidRPr="00C6755E">
        <w:rPr>
          <w:spacing w:val="-4"/>
        </w:rPr>
        <w:t xml:space="preserve"> </w:t>
      </w:r>
      <w:r w:rsidRPr="00C6755E">
        <w:t>della</w:t>
      </w:r>
      <w:r w:rsidRPr="00C6755E">
        <w:rPr>
          <w:spacing w:val="-2"/>
        </w:rPr>
        <w:t xml:space="preserve"> </w:t>
      </w:r>
      <w:r w:rsidRPr="00C6755E">
        <w:t>pelvi</w:t>
      </w:r>
      <w:r w:rsidRPr="00C6755E">
        <w:rPr>
          <w:spacing w:val="-3"/>
        </w:rPr>
        <w:t xml:space="preserve"> </w:t>
      </w:r>
      <w:r w:rsidRPr="00C6755E">
        <w:t>renale</w:t>
      </w:r>
      <w:r w:rsidRPr="00C6755E">
        <w:rPr>
          <w:spacing w:val="-2"/>
        </w:rPr>
        <w:t xml:space="preserve"> </w:t>
      </w:r>
      <w:r w:rsidRPr="00C6755E">
        <w:t>e</w:t>
      </w:r>
      <w:r w:rsidRPr="00C6755E">
        <w:rPr>
          <w:spacing w:val="-2"/>
        </w:rPr>
        <w:t xml:space="preserve"> </w:t>
      </w:r>
      <w:r w:rsidRPr="00C6755E">
        <w:t>dell’uretra</w:t>
      </w:r>
      <w:r w:rsidRPr="00C6755E">
        <w:rPr>
          <w:spacing w:val="-2"/>
        </w:rPr>
        <w:t xml:space="preserve"> </w:t>
      </w:r>
      <w:r w:rsidRPr="00C6755E">
        <w:t>è</w:t>
      </w:r>
      <w:r w:rsidRPr="00C6755E">
        <w:rPr>
          <w:spacing w:val="-1"/>
        </w:rPr>
        <w:t xml:space="preserve"> </w:t>
      </w:r>
      <w:r w:rsidRPr="00C6755E">
        <w:t>costituita</w:t>
      </w:r>
      <w:r w:rsidRPr="00C6755E">
        <w:rPr>
          <w:spacing w:val="-3"/>
        </w:rPr>
        <w:t xml:space="preserve"> </w:t>
      </w:r>
      <w:r w:rsidRPr="00C6755E">
        <w:t>da</w:t>
      </w:r>
      <w:r w:rsidRPr="00C6755E">
        <w:rPr>
          <w:spacing w:val="-2"/>
        </w:rPr>
        <w:t xml:space="preserve"> </w:t>
      </w:r>
      <w:r w:rsidRPr="00C6755E">
        <w:t>diversi</w:t>
      </w:r>
      <w:r w:rsidRPr="00C6755E">
        <w:rPr>
          <w:spacing w:val="-2"/>
        </w:rPr>
        <w:t xml:space="preserve"> </w:t>
      </w:r>
      <w:r w:rsidRPr="00C6755E">
        <w:t>strati</w:t>
      </w:r>
      <w:r w:rsidRPr="00C6755E">
        <w:rPr>
          <w:spacing w:val="-3"/>
        </w:rPr>
        <w:t xml:space="preserve"> </w:t>
      </w:r>
      <w:r w:rsidRPr="00C6755E">
        <w:t>o</w:t>
      </w:r>
      <w:r w:rsidRPr="00C6755E">
        <w:rPr>
          <w:spacing w:val="-2"/>
        </w:rPr>
        <w:t xml:space="preserve"> </w:t>
      </w:r>
      <w:r w:rsidRPr="00C6755E">
        <w:t>tuniche:</w:t>
      </w:r>
      <w:r w:rsidRPr="00C6755E">
        <w:rPr>
          <w:spacing w:val="-1"/>
        </w:rPr>
        <w:t xml:space="preserve"> </w:t>
      </w:r>
      <w:r w:rsidRPr="00C6755E">
        <w:t>il</w:t>
      </w:r>
      <w:r w:rsidRPr="00C6755E">
        <w:rPr>
          <w:spacing w:val="-2"/>
        </w:rPr>
        <w:t xml:space="preserve"> </w:t>
      </w:r>
      <w:r w:rsidRPr="00C6755E">
        <w:t>più</w:t>
      </w:r>
      <w:r w:rsidRPr="00C6755E">
        <w:rPr>
          <w:spacing w:val="-3"/>
        </w:rPr>
        <w:t xml:space="preserve"> </w:t>
      </w:r>
      <w:r w:rsidRPr="00C6755E">
        <w:t xml:space="preserve">interno è uno strato di cellule di transizione (o </w:t>
      </w:r>
      <w:proofErr w:type="spellStart"/>
      <w:r w:rsidRPr="00C6755E">
        <w:t>uroteliali</w:t>
      </w:r>
      <w:proofErr w:type="spellEnd"/>
      <w:r w:rsidRPr="00C6755E">
        <w:t>)</w:t>
      </w:r>
      <w:r w:rsidR="00AB3EA6">
        <w:t>,</w:t>
      </w:r>
      <w:r w:rsidRPr="00C6755E">
        <w:t xml:space="preserve"> da cui originano la maggior parte dei tumori vescicali e dell’alta via escretrice. Verso l’esterno si trovano la lamina propria (un connettivo di sostegno) e successivamente lo strato muscolare che consente la contrazione e lo svuotamento dell’organo. Infine</w:t>
      </w:r>
      <w:r w:rsidR="00AB3EA6">
        <w:t>,</w:t>
      </w:r>
      <w:r w:rsidRPr="00C6755E">
        <w:t xml:space="preserve"> c’è uno strato di grasso che ricopre la vescica separandola dagli organi</w:t>
      </w:r>
      <w:r w:rsidRPr="00C6755E">
        <w:rPr>
          <w:spacing w:val="-6"/>
        </w:rPr>
        <w:t xml:space="preserve"> </w:t>
      </w:r>
      <w:r w:rsidRPr="00C6755E">
        <w:t>vicini.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  <w:rPr>
          <w:sz w:val="21"/>
          <w:szCs w:val="21"/>
        </w:rPr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Fattori di rischio</w:t>
      </w:r>
    </w:p>
    <w:p w:rsidR="00332E2E" w:rsidRPr="00C6755E" w:rsidRDefault="008709E7" w:rsidP="00332E2E">
      <w:pPr>
        <w:pStyle w:val="Corpotesto"/>
        <w:kinsoku w:val="0"/>
        <w:overflowPunct w:val="0"/>
        <w:jc w:val="both"/>
      </w:pPr>
      <w:r w:rsidRPr="00C6755E">
        <w:t>Sono stati identificati vari fattori di rischio e altri sono ancora considerati potenziali:</w:t>
      </w:r>
    </w:p>
    <w:p w:rsidR="00332E2E" w:rsidRPr="00C6755E" w:rsidRDefault="008709E7" w:rsidP="00332E2E">
      <w:pPr>
        <w:pStyle w:val="Corpotesto"/>
        <w:numPr>
          <w:ilvl w:val="0"/>
          <w:numId w:val="12"/>
        </w:numPr>
        <w:kinsoku w:val="0"/>
        <w:overflowPunct w:val="0"/>
        <w:ind w:left="360"/>
        <w:jc w:val="both"/>
      </w:pPr>
      <w:r w:rsidRPr="00C6755E">
        <w:t>Al tabacco sono attribuiti i 2/3 del rischio complessivo nei maschi e 1/3 nelle femmine; il rischio dei fumatori di contrarre questo tumore è da 4 a 5 volte quello dei non fumatori e aumenta con la durata e l’intensità</w:t>
      </w:r>
      <w:r w:rsidRPr="00C6755E">
        <w:rPr>
          <w:spacing w:val="-5"/>
        </w:rPr>
        <w:t xml:space="preserve"> </w:t>
      </w:r>
      <w:r w:rsidRPr="00C6755E">
        <w:t>dell’esposizione</w:t>
      </w:r>
      <w:r w:rsidRPr="00C6755E">
        <w:rPr>
          <w:spacing w:val="-4"/>
        </w:rPr>
        <w:t xml:space="preserve"> </w:t>
      </w:r>
      <w:r w:rsidRPr="00C6755E">
        <w:t>al</w:t>
      </w:r>
      <w:r w:rsidRPr="00C6755E">
        <w:rPr>
          <w:spacing w:val="-2"/>
        </w:rPr>
        <w:t xml:space="preserve"> </w:t>
      </w:r>
      <w:r w:rsidRPr="00C6755E">
        <w:t>fumo</w:t>
      </w:r>
      <w:r w:rsidRPr="00C6755E">
        <w:rPr>
          <w:spacing w:val="-4"/>
        </w:rPr>
        <w:t xml:space="preserve"> </w:t>
      </w:r>
      <w:r w:rsidRPr="00C6755E">
        <w:t>nei</w:t>
      </w:r>
      <w:r w:rsidRPr="00C6755E">
        <w:rPr>
          <w:spacing w:val="-5"/>
        </w:rPr>
        <w:t xml:space="preserve"> </w:t>
      </w:r>
      <w:r w:rsidRPr="00C6755E">
        <w:t>due</w:t>
      </w:r>
      <w:r w:rsidRPr="00C6755E">
        <w:rPr>
          <w:spacing w:val="-3"/>
        </w:rPr>
        <w:t xml:space="preserve"> </w:t>
      </w:r>
      <w:r w:rsidRPr="00C6755E">
        <w:t>sessi.</w:t>
      </w:r>
      <w:r w:rsidRPr="00C6755E">
        <w:rPr>
          <w:spacing w:val="-5"/>
        </w:rPr>
        <w:t xml:space="preserve"> </w:t>
      </w:r>
      <w:r w:rsidRPr="00C6755E">
        <w:t>Il</w:t>
      </w:r>
      <w:r w:rsidRPr="00C6755E">
        <w:rPr>
          <w:spacing w:val="-2"/>
        </w:rPr>
        <w:t xml:space="preserve"> </w:t>
      </w:r>
      <w:r w:rsidRPr="00C6755E">
        <w:t>rischio</w:t>
      </w:r>
      <w:r w:rsidRPr="00C6755E">
        <w:rPr>
          <w:spacing w:val="-2"/>
        </w:rPr>
        <w:t xml:space="preserve"> </w:t>
      </w:r>
      <w:r w:rsidRPr="00C6755E">
        <w:t>si</w:t>
      </w:r>
      <w:r w:rsidRPr="00C6755E">
        <w:rPr>
          <w:spacing w:val="-5"/>
        </w:rPr>
        <w:t xml:space="preserve"> </w:t>
      </w:r>
      <w:r w:rsidRPr="00C6755E">
        <w:t>riduce</w:t>
      </w:r>
      <w:r w:rsidRPr="00C6755E">
        <w:rPr>
          <w:spacing w:val="-3"/>
        </w:rPr>
        <w:t xml:space="preserve"> </w:t>
      </w:r>
      <w:r w:rsidRPr="00C6755E">
        <w:t>con</w:t>
      </w:r>
      <w:r w:rsidRPr="00C6755E">
        <w:rPr>
          <w:spacing w:val="-3"/>
        </w:rPr>
        <w:t xml:space="preserve"> </w:t>
      </w:r>
      <w:r w:rsidRPr="00C6755E">
        <w:t>la</w:t>
      </w:r>
      <w:r w:rsidRPr="00C6755E">
        <w:rPr>
          <w:spacing w:val="-5"/>
        </w:rPr>
        <w:t xml:space="preserve"> </w:t>
      </w:r>
      <w:r w:rsidRPr="00C6755E">
        <w:t>cessazione</w:t>
      </w:r>
      <w:r w:rsidRPr="00C6755E">
        <w:rPr>
          <w:spacing w:val="-1"/>
        </w:rPr>
        <w:t xml:space="preserve"> </w:t>
      </w:r>
      <w:r w:rsidRPr="00C6755E">
        <w:t>del</w:t>
      </w:r>
      <w:r w:rsidRPr="00C6755E">
        <w:rPr>
          <w:spacing w:val="-5"/>
        </w:rPr>
        <w:t xml:space="preserve"> </w:t>
      </w:r>
      <w:r w:rsidRPr="00C6755E">
        <w:t>fumo,</w:t>
      </w:r>
      <w:r w:rsidRPr="00C6755E">
        <w:rPr>
          <w:spacing w:val="-5"/>
        </w:rPr>
        <w:t xml:space="preserve"> </w:t>
      </w:r>
      <w:r w:rsidRPr="00C6755E">
        <w:t>tornando approssimativamente quello dei non fumatori, dopo circa 15</w:t>
      </w:r>
      <w:r w:rsidRPr="00C6755E">
        <w:rPr>
          <w:spacing w:val="-3"/>
        </w:rPr>
        <w:t xml:space="preserve"> </w:t>
      </w:r>
      <w:r w:rsidRPr="00C6755E">
        <w:t>anni;</w:t>
      </w:r>
    </w:p>
    <w:p w:rsidR="00332E2E" w:rsidRPr="00C6755E" w:rsidRDefault="008709E7" w:rsidP="00332E2E">
      <w:pPr>
        <w:pStyle w:val="Corpotesto"/>
        <w:numPr>
          <w:ilvl w:val="0"/>
          <w:numId w:val="12"/>
        </w:numPr>
        <w:kinsoku w:val="0"/>
        <w:overflowPunct w:val="0"/>
        <w:ind w:left="360"/>
        <w:jc w:val="both"/>
      </w:pPr>
      <w:r w:rsidRPr="00C6755E">
        <w:t>Il</w:t>
      </w:r>
      <w:r w:rsidRPr="00C6755E">
        <w:rPr>
          <w:spacing w:val="-14"/>
        </w:rPr>
        <w:t xml:space="preserve"> </w:t>
      </w:r>
      <w:r w:rsidRPr="00C6755E">
        <w:t>25%</w:t>
      </w:r>
      <w:r w:rsidRPr="00C6755E">
        <w:rPr>
          <w:spacing w:val="-15"/>
        </w:rPr>
        <w:t xml:space="preserve"> </w:t>
      </w:r>
      <w:r w:rsidRPr="00C6755E">
        <w:t>circa</w:t>
      </w:r>
      <w:r w:rsidRPr="00C6755E">
        <w:rPr>
          <w:spacing w:val="-13"/>
        </w:rPr>
        <w:t xml:space="preserve"> </w:t>
      </w:r>
      <w:r w:rsidRPr="00C6755E">
        <w:t>di</w:t>
      </w:r>
      <w:r w:rsidRPr="00C6755E">
        <w:rPr>
          <w:spacing w:val="-13"/>
        </w:rPr>
        <w:t xml:space="preserve"> </w:t>
      </w:r>
      <w:r w:rsidRPr="00C6755E">
        <w:t>questi</w:t>
      </w:r>
      <w:r w:rsidRPr="00C6755E">
        <w:rPr>
          <w:spacing w:val="-14"/>
        </w:rPr>
        <w:t xml:space="preserve"> </w:t>
      </w:r>
      <w:r w:rsidRPr="00C6755E">
        <w:t>tumori</w:t>
      </w:r>
      <w:r w:rsidRPr="00C6755E">
        <w:rPr>
          <w:spacing w:val="-16"/>
        </w:rPr>
        <w:t xml:space="preserve"> </w:t>
      </w:r>
      <w:r w:rsidRPr="00C6755E">
        <w:t>è</w:t>
      </w:r>
      <w:r w:rsidRPr="00C6755E">
        <w:rPr>
          <w:spacing w:val="-12"/>
        </w:rPr>
        <w:t xml:space="preserve"> </w:t>
      </w:r>
      <w:r w:rsidRPr="00C6755E">
        <w:t>attribuibile</w:t>
      </w:r>
      <w:r w:rsidRPr="00C6755E">
        <w:rPr>
          <w:spacing w:val="-12"/>
        </w:rPr>
        <w:t xml:space="preserve"> </w:t>
      </w:r>
      <w:r w:rsidRPr="00C6755E">
        <w:t>alle</w:t>
      </w:r>
      <w:r w:rsidRPr="00C6755E">
        <w:rPr>
          <w:spacing w:val="-14"/>
        </w:rPr>
        <w:t xml:space="preserve"> </w:t>
      </w:r>
      <w:r w:rsidRPr="00C6755E">
        <w:t>esposizioni</w:t>
      </w:r>
      <w:r w:rsidRPr="00C6755E">
        <w:rPr>
          <w:spacing w:val="-13"/>
        </w:rPr>
        <w:t xml:space="preserve"> </w:t>
      </w:r>
      <w:r w:rsidRPr="00C6755E">
        <w:t>lavorative</w:t>
      </w:r>
      <w:r w:rsidRPr="00C6755E">
        <w:rPr>
          <w:spacing w:val="-15"/>
        </w:rPr>
        <w:t xml:space="preserve"> </w:t>
      </w:r>
      <w:r w:rsidRPr="00C6755E">
        <w:t>a</w:t>
      </w:r>
      <w:r w:rsidRPr="00C6755E">
        <w:rPr>
          <w:spacing w:val="-13"/>
        </w:rPr>
        <w:t xml:space="preserve"> </w:t>
      </w:r>
      <w:r w:rsidRPr="00C6755E">
        <w:t>sostanze</w:t>
      </w:r>
      <w:r w:rsidRPr="00C6755E">
        <w:rPr>
          <w:spacing w:val="-12"/>
        </w:rPr>
        <w:t xml:space="preserve"> </w:t>
      </w:r>
      <w:r w:rsidRPr="00C6755E">
        <w:t>cancerogene.</w:t>
      </w:r>
      <w:r w:rsidRPr="00C6755E">
        <w:rPr>
          <w:spacing w:val="-12"/>
        </w:rPr>
        <w:t xml:space="preserve"> </w:t>
      </w:r>
      <w:r w:rsidRPr="00C6755E">
        <w:t>È</w:t>
      </w:r>
      <w:r w:rsidRPr="00C6755E">
        <w:rPr>
          <w:spacing w:val="-13"/>
        </w:rPr>
        <w:t xml:space="preserve"> </w:t>
      </w:r>
      <w:r w:rsidRPr="00C6755E">
        <w:t>noto</w:t>
      </w:r>
      <w:r w:rsidRPr="00C6755E">
        <w:rPr>
          <w:spacing w:val="-11"/>
        </w:rPr>
        <w:t xml:space="preserve"> </w:t>
      </w:r>
      <w:r w:rsidRPr="00C6755E">
        <w:t>infatti il</w:t>
      </w:r>
      <w:r w:rsidRPr="00C6755E">
        <w:rPr>
          <w:spacing w:val="-13"/>
        </w:rPr>
        <w:t xml:space="preserve"> </w:t>
      </w:r>
      <w:r w:rsidRPr="00C6755E">
        <w:t>ruolo</w:t>
      </w:r>
      <w:r w:rsidRPr="00C6755E">
        <w:rPr>
          <w:spacing w:val="-10"/>
        </w:rPr>
        <w:t xml:space="preserve"> </w:t>
      </w:r>
      <w:r w:rsidRPr="00C6755E">
        <w:t>dei</w:t>
      </w:r>
      <w:r w:rsidRPr="00C6755E">
        <w:rPr>
          <w:spacing w:val="-14"/>
        </w:rPr>
        <w:t xml:space="preserve"> </w:t>
      </w:r>
      <w:r w:rsidRPr="00C6755E">
        <w:t>coloranti</w:t>
      </w:r>
      <w:r w:rsidRPr="00C6755E">
        <w:rPr>
          <w:spacing w:val="-14"/>
        </w:rPr>
        <w:t xml:space="preserve"> </w:t>
      </w:r>
      <w:r w:rsidRPr="00C6755E">
        <w:t>derivati</w:t>
      </w:r>
      <w:r w:rsidRPr="00C6755E">
        <w:rPr>
          <w:spacing w:val="-13"/>
        </w:rPr>
        <w:t xml:space="preserve"> </w:t>
      </w:r>
      <w:r w:rsidRPr="00C6755E">
        <w:t>dall’anilina,</w:t>
      </w:r>
      <w:r w:rsidRPr="00C6755E">
        <w:rPr>
          <w:spacing w:val="-12"/>
        </w:rPr>
        <w:t xml:space="preserve"> </w:t>
      </w:r>
      <w:r w:rsidRPr="00C6755E">
        <w:t>così</w:t>
      </w:r>
      <w:r w:rsidRPr="00C6755E">
        <w:rPr>
          <w:spacing w:val="-12"/>
        </w:rPr>
        <w:t xml:space="preserve"> </w:t>
      </w:r>
      <w:r w:rsidRPr="00C6755E">
        <w:t>come</w:t>
      </w:r>
      <w:r w:rsidRPr="00C6755E">
        <w:rPr>
          <w:spacing w:val="-14"/>
        </w:rPr>
        <w:t xml:space="preserve"> </w:t>
      </w:r>
      <w:r w:rsidRPr="00C6755E">
        <w:t>l’esposizione</w:t>
      </w:r>
      <w:r w:rsidRPr="00C6755E">
        <w:rPr>
          <w:spacing w:val="-13"/>
        </w:rPr>
        <w:t xml:space="preserve"> </w:t>
      </w:r>
      <w:r w:rsidRPr="00C6755E">
        <w:t>cronica</w:t>
      </w:r>
      <w:r w:rsidRPr="00C6755E">
        <w:rPr>
          <w:spacing w:val="-12"/>
        </w:rPr>
        <w:t xml:space="preserve"> </w:t>
      </w:r>
      <w:r w:rsidRPr="00C6755E">
        <w:t>a</w:t>
      </w:r>
      <w:r w:rsidRPr="00C6755E">
        <w:rPr>
          <w:spacing w:val="-14"/>
        </w:rPr>
        <w:t xml:space="preserve"> </w:t>
      </w:r>
      <w:r w:rsidRPr="00C6755E">
        <w:t>sostanze</w:t>
      </w:r>
      <w:r w:rsidRPr="00C6755E">
        <w:rPr>
          <w:spacing w:val="-12"/>
        </w:rPr>
        <w:t xml:space="preserve"> </w:t>
      </w:r>
      <w:r w:rsidRPr="00C6755E">
        <w:t>cancerogene</w:t>
      </w:r>
      <w:r w:rsidRPr="00C6755E">
        <w:rPr>
          <w:spacing w:val="-11"/>
        </w:rPr>
        <w:t xml:space="preserve"> </w:t>
      </w:r>
      <w:r w:rsidRPr="00C6755E">
        <w:t>presenti nell’ambiente o ad amine aromatiche (benzidina, 2-naftilammina, elementi contenuti anche nel fumo) e ai derivati</w:t>
      </w:r>
      <w:r w:rsidRPr="00C6755E">
        <w:rPr>
          <w:spacing w:val="-1"/>
        </w:rPr>
        <w:t xml:space="preserve"> </w:t>
      </w:r>
      <w:r w:rsidRPr="00C6755E">
        <w:t>dell’arsenico;</w:t>
      </w:r>
    </w:p>
    <w:p w:rsidR="00332E2E" w:rsidRPr="00C6755E" w:rsidRDefault="008709E7" w:rsidP="00332E2E">
      <w:pPr>
        <w:pStyle w:val="Corpotesto"/>
        <w:numPr>
          <w:ilvl w:val="0"/>
          <w:numId w:val="12"/>
        </w:numPr>
        <w:kinsoku w:val="0"/>
        <w:overflowPunct w:val="0"/>
        <w:ind w:left="360"/>
        <w:jc w:val="both"/>
      </w:pPr>
      <w:r w:rsidRPr="00C6755E">
        <w:t>L’assunzione cronica di alcuni farmaci può favorire l’insorgenza di questo tumore. Conosciuto è anche il rischio conseguente all’assunzione di fenacetina, analgesico derivato dall’anilina, oggi sostituito dal paracetamolo, suo metabolita</w:t>
      </w:r>
      <w:r w:rsidRPr="00C6755E">
        <w:rPr>
          <w:spacing w:val="-5"/>
        </w:rPr>
        <w:t xml:space="preserve"> </w:t>
      </w:r>
      <w:r w:rsidRPr="00C6755E">
        <w:t>attivo;</w:t>
      </w:r>
    </w:p>
    <w:p w:rsidR="00332E2E" w:rsidRPr="00C6755E" w:rsidRDefault="008709E7" w:rsidP="00332E2E">
      <w:pPr>
        <w:pStyle w:val="Corpotesto"/>
        <w:numPr>
          <w:ilvl w:val="0"/>
          <w:numId w:val="12"/>
        </w:numPr>
        <w:kinsoku w:val="0"/>
        <w:overflowPunct w:val="0"/>
        <w:ind w:left="360"/>
        <w:jc w:val="both"/>
      </w:pPr>
      <w:r w:rsidRPr="00C6755E">
        <w:t>Alcune infestazioni parassitarie (ad esempio la schistosomiasi) possono essere causa di alcune forme istologiche del tumore, ma sono diffuse soprattutto in Medio Oriente e in</w:t>
      </w:r>
      <w:r w:rsidRPr="00C6755E">
        <w:rPr>
          <w:spacing w:val="-18"/>
        </w:rPr>
        <w:t xml:space="preserve"> </w:t>
      </w:r>
      <w:r w:rsidRPr="00C6755E">
        <w:t>Egitto;</w:t>
      </w:r>
    </w:p>
    <w:p w:rsidR="008709E7" w:rsidRPr="00C6755E" w:rsidRDefault="008709E7" w:rsidP="00332E2E">
      <w:pPr>
        <w:pStyle w:val="Corpotesto"/>
        <w:numPr>
          <w:ilvl w:val="0"/>
          <w:numId w:val="12"/>
        </w:numPr>
        <w:kinsoku w:val="0"/>
        <w:overflowPunct w:val="0"/>
        <w:ind w:left="360"/>
        <w:jc w:val="both"/>
      </w:pPr>
      <w:r w:rsidRPr="00C6755E">
        <w:t>Normalmente</w:t>
      </w:r>
      <w:r w:rsidRPr="00C6755E">
        <w:rPr>
          <w:spacing w:val="-3"/>
        </w:rPr>
        <w:t xml:space="preserve"> </w:t>
      </w:r>
      <w:r w:rsidRPr="00C6755E">
        <w:t>non</w:t>
      </w:r>
      <w:r w:rsidRPr="00C6755E">
        <w:rPr>
          <w:spacing w:val="-4"/>
        </w:rPr>
        <w:t xml:space="preserve"> </w:t>
      </w:r>
      <w:r w:rsidRPr="00C6755E">
        <w:t>è</w:t>
      </w:r>
      <w:r w:rsidRPr="00C6755E">
        <w:rPr>
          <w:spacing w:val="-3"/>
        </w:rPr>
        <w:t xml:space="preserve"> </w:t>
      </w:r>
      <w:r w:rsidRPr="00C6755E">
        <w:t>considerato</w:t>
      </w:r>
      <w:r w:rsidRPr="00C6755E">
        <w:rPr>
          <w:spacing w:val="-4"/>
        </w:rPr>
        <w:t xml:space="preserve"> </w:t>
      </w:r>
      <w:r w:rsidRPr="00C6755E">
        <w:t>tra</w:t>
      </w:r>
      <w:r w:rsidRPr="00C6755E">
        <w:rPr>
          <w:spacing w:val="-3"/>
        </w:rPr>
        <w:t xml:space="preserve"> </w:t>
      </w:r>
      <w:r w:rsidRPr="00C6755E">
        <w:t>le</w:t>
      </w:r>
      <w:r w:rsidRPr="00C6755E">
        <w:rPr>
          <w:spacing w:val="-3"/>
        </w:rPr>
        <w:t xml:space="preserve"> </w:t>
      </w:r>
      <w:r w:rsidRPr="00C6755E">
        <w:t>neoplasie</w:t>
      </w:r>
      <w:r w:rsidRPr="00C6755E">
        <w:rPr>
          <w:spacing w:val="-3"/>
        </w:rPr>
        <w:t xml:space="preserve"> </w:t>
      </w:r>
      <w:r w:rsidRPr="00C6755E">
        <w:t>a</w:t>
      </w:r>
      <w:r w:rsidRPr="00C6755E">
        <w:rPr>
          <w:spacing w:val="-3"/>
        </w:rPr>
        <w:t xml:space="preserve"> </w:t>
      </w:r>
      <w:r w:rsidRPr="00C6755E">
        <w:t>trasmissione</w:t>
      </w:r>
      <w:r w:rsidRPr="00C6755E">
        <w:rPr>
          <w:spacing w:val="-3"/>
        </w:rPr>
        <w:t xml:space="preserve"> </w:t>
      </w:r>
      <w:r w:rsidRPr="00C6755E">
        <w:t>familiare.</w:t>
      </w:r>
      <w:r w:rsidRPr="00C6755E">
        <w:rPr>
          <w:spacing w:val="-3"/>
        </w:rPr>
        <w:t xml:space="preserve"> </w:t>
      </w:r>
      <w:proofErr w:type="gramStart"/>
      <w:r w:rsidRPr="00C6755E">
        <w:t>E’</w:t>
      </w:r>
      <w:proofErr w:type="gramEnd"/>
      <w:r w:rsidRPr="00C6755E">
        <w:rPr>
          <w:spacing w:val="-3"/>
        </w:rPr>
        <w:t xml:space="preserve"> </w:t>
      </w:r>
      <w:r w:rsidRPr="00C6755E">
        <w:t>stato</w:t>
      </w:r>
      <w:r w:rsidRPr="00C6755E">
        <w:rPr>
          <w:spacing w:val="-4"/>
        </w:rPr>
        <w:t xml:space="preserve"> </w:t>
      </w:r>
      <w:r w:rsidRPr="00C6755E">
        <w:t>tuttavia</w:t>
      </w:r>
      <w:r w:rsidRPr="00C6755E">
        <w:rPr>
          <w:spacing w:val="-4"/>
        </w:rPr>
        <w:t xml:space="preserve"> </w:t>
      </w:r>
      <w:r w:rsidRPr="00C6755E">
        <w:t xml:space="preserve">documentato l’aumento del rischio di carcinomi </w:t>
      </w:r>
      <w:proofErr w:type="spellStart"/>
      <w:r w:rsidRPr="00C6755E">
        <w:t>uroteliali</w:t>
      </w:r>
      <w:proofErr w:type="spellEnd"/>
      <w:r w:rsidRPr="00C6755E">
        <w:t xml:space="preserve">, specie a carico del tratto superiore (pelvi renale e uretere), in famiglie con carcinoma del colon-retto non </w:t>
      </w:r>
      <w:proofErr w:type="spellStart"/>
      <w:r w:rsidRPr="00C6755E">
        <w:t>poliposico</w:t>
      </w:r>
      <w:proofErr w:type="spellEnd"/>
      <w:r w:rsidRPr="00C6755E">
        <w:t xml:space="preserve"> ereditario (sindrome di</w:t>
      </w:r>
      <w:r w:rsidRPr="00C6755E">
        <w:rPr>
          <w:spacing w:val="-14"/>
        </w:rPr>
        <w:t xml:space="preserve"> </w:t>
      </w:r>
      <w:r w:rsidRPr="00C6755E">
        <w:t>Lynch).</w:t>
      </w:r>
    </w:p>
    <w:p w:rsidR="008709E7" w:rsidRPr="00C6755E" w:rsidRDefault="008709E7" w:rsidP="00332E2E">
      <w:pPr>
        <w:pStyle w:val="Corpotesto"/>
        <w:kinsoku w:val="0"/>
        <w:overflowPunct w:val="0"/>
        <w:ind w:left="-360"/>
        <w:jc w:val="both"/>
        <w:rPr>
          <w:sz w:val="21"/>
          <w:szCs w:val="21"/>
        </w:rPr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Gli stadi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>Il carcinoma della vescica deriva dalla trasformazione maligna di alcune cellule che rivestono la superficie interna</w:t>
      </w:r>
      <w:r w:rsidRPr="00C6755E">
        <w:rPr>
          <w:spacing w:val="-6"/>
        </w:rPr>
        <w:t xml:space="preserve"> </w:t>
      </w:r>
      <w:r w:rsidRPr="00C6755E">
        <w:t>dell’organo.</w:t>
      </w:r>
      <w:r w:rsidRPr="00C6755E">
        <w:rPr>
          <w:spacing w:val="-8"/>
        </w:rPr>
        <w:t xml:space="preserve"> </w:t>
      </w:r>
      <w:r w:rsidRPr="00C6755E">
        <w:t>La</w:t>
      </w:r>
      <w:r w:rsidRPr="00C6755E">
        <w:rPr>
          <w:spacing w:val="-8"/>
        </w:rPr>
        <w:t xml:space="preserve"> </w:t>
      </w:r>
      <w:r w:rsidRPr="00C6755E">
        <w:t>forma</w:t>
      </w:r>
      <w:r w:rsidRPr="00C6755E">
        <w:rPr>
          <w:spacing w:val="-8"/>
        </w:rPr>
        <w:t xml:space="preserve"> </w:t>
      </w:r>
      <w:r w:rsidRPr="00C6755E">
        <w:t>più</w:t>
      </w:r>
      <w:r w:rsidRPr="00C6755E">
        <w:rPr>
          <w:spacing w:val="-6"/>
        </w:rPr>
        <w:t xml:space="preserve"> </w:t>
      </w:r>
      <w:r w:rsidRPr="00C6755E">
        <w:t>frequente</w:t>
      </w:r>
      <w:r w:rsidRPr="00C6755E">
        <w:rPr>
          <w:spacing w:val="-7"/>
        </w:rPr>
        <w:t xml:space="preserve"> </w:t>
      </w:r>
      <w:r w:rsidRPr="00C6755E">
        <w:t>è</w:t>
      </w:r>
      <w:r w:rsidRPr="00C6755E">
        <w:rPr>
          <w:spacing w:val="-7"/>
        </w:rPr>
        <w:t xml:space="preserve"> </w:t>
      </w:r>
      <w:r w:rsidRPr="00C6755E">
        <w:t>il</w:t>
      </w:r>
      <w:r w:rsidRPr="00C6755E">
        <w:rPr>
          <w:spacing w:val="-8"/>
        </w:rPr>
        <w:t xml:space="preserve"> </w:t>
      </w:r>
      <w:r w:rsidRPr="00C6755E">
        <w:t>carcinoma</w:t>
      </w:r>
      <w:r w:rsidRPr="00C6755E">
        <w:rPr>
          <w:spacing w:val="-8"/>
        </w:rPr>
        <w:t xml:space="preserve"> </w:t>
      </w:r>
      <w:proofErr w:type="spellStart"/>
      <w:r w:rsidRPr="00C6755E">
        <w:t>uroteliale</w:t>
      </w:r>
      <w:proofErr w:type="spellEnd"/>
      <w:r w:rsidRPr="00C6755E">
        <w:t>,</w:t>
      </w:r>
      <w:r w:rsidRPr="00C6755E">
        <w:rPr>
          <w:spacing w:val="-8"/>
        </w:rPr>
        <w:t xml:space="preserve"> </w:t>
      </w:r>
      <w:r w:rsidRPr="00C6755E">
        <w:t>che</w:t>
      </w:r>
      <w:r w:rsidRPr="00C6755E">
        <w:rPr>
          <w:spacing w:val="-9"/>
        </w:rPr>
        <w:t xml:space="preserve"> </w:t>
      </w:r>
      <w:r w:rsidRPr="00C6755E">
        <w:t>costituisce</w:t>
      </w:r>
      <w:r w:rsidRPr="00C6755E">
        <w:rPr>
          <w:spacing w:val="-7"/>
        </w:rPr>
        <w:t xml:space="preserve"> </w:t>
      </w:r>
      <w:r w:rsidRPr="00C6755E">
        <w:t>circa</w:t>
      </w:r>
      <w:r w:rsidRPr="00C6755E">
        <w:rPr>
          <w:spacing w:val="-8"/>
        </w:rPr>
        <w:t xml:space="preserve"> </w:t>
      </w:r>
      <w:r w:rsidRPr="00C6755E">
        <w:t>il</w:t>
      </w:r>
      <w:r w:rsidRPr="00C6755E">
        <w:rPr>
          <w:spacing w:val="-8"/>
        </w:rPr>
        <w:t xml:space="preserve"> </w:t>
      </w:r>
      <w:r w:rsidRPr="00C6755E">
        <w:t>95%</w:t>
      </w:r>
      <w:r w:rsidRPr="00C6755E">
        <w:rPr>
          <w:spacing w:val="-7"/>
        </w:rPr>
        <w:t xml:space="preserve"> </w:t>
      </w:r>
      <w:r w:rsidRPr="00C6755E">
        <w:t>dei</w:t>
      </w:r>
      <w:r w:rsidRPr="00C6755E">
        <w:rPr>
          <w:spacing w:val="-8"/>
        </w:rPr>
        <w:t xml:space="preserve"> </w:t>
      </w:r>
      <w:r w:rsidRPr="00C6755E">
        <w:t>casi.</w:t>
      </w:r>
      <w:r w:rsidRPr="00C6755E">
        <w:rPr>
          <w:spacing w:val="-9"/>
        </w:rPr>
        <w:t xml:space="preserve"> </w:t>
      </w:r>
      <w:r w:rsidRPr="00C6755E">
        <w:t>Altri tipi</w:t>
      </w:r>
      <w:r w:rsidRPr="00C6755E">
        <w:rPr>
          <w:spacing w:val="-9"/>
        </w:rPr>
        <w:t xml:space="preserve"> </w:t>
      </w:r>
      <w:r w:rsidRPr="00C6755E">
        <w:t>di</w:t>
      </w:r>
      <w:r w:rsidRPr="00C6755E">
        <w:rPr>
          <w:spacing w:val="-9"/>
        </w:rPr>
        <w:t xml:space="preserve"> </w:t>
      </w:r>
      <w:r w:rsidRPr="00C6755E">
        <w:t>tumore</w:t>
      </w:r>
      <w:r w:rsidRPr="00C6755E">
        <w:rPr>
          <w:spacing w:val="-10"/>
        </w:rPr>
        <w:t xml:space="preserve"> </w:t>
      </w:r>
      <w:r w:rsidRPr="00C6755E">
        <w:t>sono</w:t>
      </w:r>
      <w:r w:rsidRPr="00C6755E">
        <w:rPr>
          <w:spacing w:val="-8"/>
        </w:rPr>
        <w:t xml:space="preserve"> </w:t>
      </w:r>
      <w:r w:rsidRPr="00C6755E">
        <w:t>l’adenocarcinoma</w:t>
      </w:r>
      <w:r w:rsidRPr="00C6755E">
        <w:rPr>
          <w:spacing w:val="-10"/>
        </w:rPr>
        <w:t xml:space="preserve"> </w:t>
      </w:r>
      <w:r w:rsidRPr="00C6755E">
        <w:t>e</w:t>
      </w:r>
      <w:r w:rsidRPr="00C6755E">
        <w:rPr>
          <w:spacing w:val="-8"/>
        </w:rPr>
        <w:t xml:space="preserve"> </w:t>
      </w:r>
      <w:r w:rsidRPr="00C6755E">
        <w:t>il</w:t>
      </w:r>
      <w:r w:rsidRPr="00C6755E">
        <w:rPr>
          <w:spacing w:val="-9"/>
        </w:rPr>
        <w:t xml:space="preserve"> </w:t>
      </w:r>
      <w:r w:rsidRPr="00C6755E">
        <w:t>carcinoma</w:t>
      </w:r>
      <w:r w:rsidRPr="00C6755E">
        <w:rPr>
          <w:spacing w:val="-8"/>
        </w:rPr>
        <w:t xml:space="preserve"> </w:t>
      </w:r>
      <w:r w:rsidRPr="00C6755E">
        <w:t>squamoso</w:t>
      </w:r>
      <w:r w:rsidRPr="00C6755E">
        <w:rPr>
          <w:spacing w:val="-7"/>
        </w:rPr>
        <w:t xml:space="preserve"> </w:t>
      </w:r>
      <w:r w:rsidRPr="00C6755E">
        <w:t>primitivo</w:t>
      </w:r>
      <w:r w:rsidR="00AB3EA6">
        <w:t>,</w:t>
      </w:r>
      <w:r w:rsidRPr="00C6755E">
        <w:rPr>
          <w:spacing w:val="-9"/>
        </w:rPr>
        <w:t xml:space="preserve"> </w:t>
      </w:r>
      <w:r w:rsidRPr="00C6755E">
        <w:t>che</w:t>
      </w:r>
      <w:r w:rsidRPr="00C6755E">
        <w:rPr>
          <w:spacing w:val="-9"/>
        </w:rPr>
        <w:t xml:space="preserve"> </w:t>
      </w:r>
      <w:r w:rsidRPr="00C6755E">
        <w:t>può</w:t>
      </w:r>
      <w:r w:rsidRPr="00C6755E">
        <w:rPr>
          <w:spacing w:val="-8"/>
        </w:rPr>
        <w:t xml:space="preserve"> </w:t>
      </w:r>
      <w:r w:rsidRPr="00C6755E">
        <w:t>svilupparsi</w:t>
      </w:r>
      <w:r w:rsidRPr="00C6755E">
        <w:rPr>
          <w:spacing w:val="-8"/>
        </w:rPr>
        <w:t xml:space="preserve"> </w:t>
      </w:r>
      <w:r w:rsidRPr="00C6755E">
        <w:t>anche</w:t>
      </w:r>
      <w:r w:rsidRPr="00C6755E">
        <w:rPr>
          <w:spacing w:val="-9"/>
        </w:rPr>
        <w:t xml:space="preserve"> </w:t>
      </w:r>
      <w:r w:rsidRPr="00C6755E">
        <w:t>in</w:t>
      </w:r>
      <w:r w:rsidRPr="00C6755E">
        <w:rPr>
          <w:spacing w:val="-9"/>
        </w:rPr>
        <w:t xml:space="preserve"> </w:t>
      </w:r>
      <w:r w:rsidRPr="00C6755E">
        <w:t xml:space="preserve">seguito a infiammazioni croniche o infezioni ripetute. Si tratta di </w:t>
      </w:r>
      <w:proofErr w:type="spellStart"/>
      <w:r w:rsidRPr="00C6755E">
        <w:t>istotipi</w:t>
      </w:r>
      <w:proofErr w:type="spellEnd"/>
      <w:r w:rsidRPr="00C6755E">
        <w:t xml:space="preserve"> decisamente meno diffus</w:t>
      </w:r>
      <w:r w:rsidR="00AB3EA6">
        <w:t>i</w:t>
      </w:r>
      <w:r w:rsidRPr="00C6755E">
        <w:t>. La malattia si manifesta più spesso sulle pareti laterali dell’organo, e ha un aspetto papillare (cioè come piccole escrescenze) nel 75% dei casi, oppure una forma piatta o</w:t>
      </w:r>
      <w:r w:rsidRPr="00C6755E">
        <w:rPr>
          <w:spacing w:val="-3"/>
        </w:rPr>
        <w:t xml:space="preserve"> </w:t>
      </w:r>
      <w:r w:rsidRPr="00C6755E">
        <w:t>nodulare.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>Come</w:t>
      </w:r>
      <w:r w:rsidRPr="00C6755E">
        <w:rPr>
          <w:spacing w:val="-9"/>
        </w:rPr>
        <w:t xml:space="preserve"> </w:t>
      </w:r>
      <w:r w:rsidRPr="00C6755E">
        <w:t>per</w:t>
      </w:r>
      <w:r w:rsidRPr="00C6755E">
        <w:rPr>
          <w:spacing w:val="-10"/>
        </w:rPr>
        <w:t xml:space="preserve"> </w:t>
      </w:r>
      <w:r w:rsidRPr="00C6755E">
        <w:t>le</w:t>
      </w:r>
      <w:r w:rsidRPr="00C6755E">
        <w:rPr>
          <w:spacing w:val="-10"/>
        </w:rPr>
        <w:t xml:space="preserve"> </w:t>
      </w:r>
      <w:r w:rsidRPr="00C6755E">
        <w:t>altre</w:t>
      </w:r>
      <w:r w:rsidRPr="00C6755E">
        <w:rPr>
          <w:spacing w:val="-9"/>
        </w:rPr>
        <w:t xml:space="preserve"> </w:t>
      </w:r>
      <w:r w:rsidRPr="00C6755E">
        <w:t>neoplasie,</w:t>
      </w:r>
      <w:r w:rsidRPr="00C6755E">
        <w:rPr>
          <w:spacing w:val="-10"/>
        </w:rPr>
        <w:t xml:space="preserve"> </w:t>
      </w:r>
      <w:r w:rsidRPr="00C6755E">
        <w:t>il</w:t>
      </w:r>
      <w:r w:rsidRPr="00C6755E">
        <w:rPr>
          <w:spacing w:val="-11"/>
        </w:rPr>
        <w:t xml:space="preserve"> </w:t>
      </w:r>
      <w:r w:rsidRPr="00C6755E">
        <w:t>tumore</w:t>
      </w:r>
      <w:r w:rsidRPr="00C6755E">
        <w:rPr>
          <w:spacing w:val="-8"/>
        </w:rPr>
        <w:t xml:space="preserve"> </w:t>
      </w:r>
      <w:r w:rsidRPr="00C6755E">
        <w:t>viene</w:t>
      </w:r>
      <w:r w:rsidRPr="00C6755E">
        <w:rPr>
          <w:spacing w:val="-10"/>
        </w:rPr>
        <w:t xml:space="preserve"> </w:t>
      </w:r>
      <w:r w:rsidRPr="00C6755E">
        <w:t>classificato,</w:t>
      </w:r>
      <w:r w:rsidRPr="00C6755E">
        <w:rPr>
          <w:spacing w:val="-11"/>
        </w:rPr>
        <w:t xml:space="preserve"> </w:t>
      </w:r>
      <w:r w:rsidRPr="00C6755E">
        <w:t>con</w:t>
      </w:r>
      <w:r w:rsidRPr="00C6755E">
        <w:rPr>
          <w:spacing w:val="-10"/>
        </w:rPr>
        <w:t xml:space="preserve"> </w:t>
      </w:r>
      <w:r w:rsidRPr="00C6755E">
        <w:t>il</w:t>
      </w:r>
      <w:r w:rsidRPr="00C6755E">
        <w:rPr>
          <w:spacing w:val="-11"/>
        </w:rPr>
        <w:t xml:space="preserve"> </w:t>
      </w:r>
      <w:r w:rsidRPr="00C6755E">
        <w:t>sistema</w:t>
      </w:r>
      <w:r w:rsidRPr="00C6755E">
        <w:rPr>
          <w:spacing w:val="-9"/>
        </w:rPr>
        <w:t xml:space="preserve"> </w:t>
      </w:r>
      <w:r w:rsidRPr="00C6755E">
        <w:t>TNM,</w:t>
      </w:r>
      <w:r w:rsidRPr="00C6755E">
        <w:rPr>
          <w:spacing w:val="-10"/>
        </w:rPr>
        <w:t xml:space="preserve"> </w:t>
      </w:r>
      <w:r w:rsidRPr="00C6755E">
        <w:t>in</w:t>
      </w:r>
      <w:r w:rsidRPr="00C6755E">
        <w:rPr>
          <w:spacing w:val="-11"/>
        </w:rPr>
        <w:t xml:space="preserve"> </w:t>
      </w:r>
      <w:r w:rsidRPr="00C6755E">
        <w:t>base</w:t>
      </w:r>
      <w:r w:rsidRPr="00C6755E">
        <w:rPr>
          <w:spacing w:val="-9"/>
        </w:rPr>
        <w:t xml:space="preserve"> </w:t>
      </w:r>
      <w:r w:rsidRPr="00C6755E">
        <w:t>alla</w:t>
      </w:r>
      <w:r w:rsidRPr="00C6755E">
        <w:rPr>
          <w:spacing w:val="-10"/>
        </w:rPr>
        <w:t xml:space="preserve"> </w:t>
      </w:r>
      <w:r w:rsidRPr="00C6755E">
        <w:t>sua</w:t>
      </w:r>
      <w:r w:rsidRPr="00C6755E">
        <w:rPr>
          <w:spacing w:val="-11"/>
        </w:rPr>
        <w:t xml:space="preserve"> </w:t>
      </w:r>
      <w:r w:rsidRPr="00C6755E">
        <w:t>estensione</w:t>
      </w:r>
      <w:r w:rsidRPr="00C6755E">
        <w:rPr>
          <w:spacing w:val="-9"/>
        </w:rPr>
        <w:t xml:space="preserve"> </w:t>
      </w:r>
      <w:r w:rsidRPr="00C6755E">
        <w:t>locale e all’interessamento o meno delle strutture vicine (categoria T), dei linfonodi (categoria N) e della presenza o meno di metastasi (categoria</w:t>
      </w:r>
      <w:r w:rsidRPr="00C6755E">
        <w:rPr>
          <w:spacing w:val="-8"/>
        </w:rPr>
        <w:t xml:space="preserve"> </w:t>
      </w:r>
      <w:r w:rsidRPr="00C6755E">
        <w:t>M).</w:t>
      </w:r>
    </w:p>
    <w:p w:rsidR="00332E2E" w:rsidRPr="00C6755E" w:rsidRDefault="008709E7" w:rsidP="00332E2E">
      <w:pPr>
        <w:pStyle w:val="Corpotesto"/>
        <w:kinsoku w:val="0"/>
        <w:overflowPunct w:val="0"/>
        <w:jc w:val="both"/>
      </w:pPr>
      <w:r w:rsidRPr="00C6755E">
        <w:t>Si divide in:</w:t>
      </w:r>
    </w:p>
    <w:p w:rsidR="00332E2E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t xml:space="preserve">Stadio in situ (Cis o </w:t>
      </w:r>
      <w:proofErr w:type="spellStart"/>
      <w:r w:rsidRPr="00C6755E">
        <w:rPr>
          <w:i/>
          <w:iCs/>
        </w:rPr>
        <w:t>Tis</w:t>
      </w:r>
      <w:proofErr w:type="spellEnd"/>
      <w:r w:rsidRPr="00C6755E">
        <w:rPr>
          <w:i/>
          <w:iCs/>
        </w:rPr>
        <w:t xml:space="preserve">): </w:t>
      </w:r>
      <w:r w:rsidRPr="00C6755E">
        <w:t>è un tumore molto superficiale, spesso non visibile a occhio nudo, ma composto di cellule molto</w:t>
      </w:r>
      <w:r w:rsidRPr="00C6755E">
        <w:rPr>
          <w:spacing w:val="-3"/>
        </w:rPr>
        <w:t xml:space="preserve"> </w:t>
      </w:r>
      <w:r w:rsidRPr="00C6755E">
        <w:t>aggressive</w:t>
      </w:r>
    </w:p>
    <w:p w:rsidR="00332E2E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t xml:space="preserve">Stadio </w:t>
      </w:r>
      <w:proofErr w:type="spellStart"/>
      <w:r w:rsidRPr="00C6755E">
        <w:rPr>
          <w:i/>
          <w:iCs/>
        </w:rPr>
        <w:t>Ta</w:t>
      </w:r>
      <w:proofErr w:type="spellEnd"/>
      <w:r w:rsidRPr="00C6755E">
        <w:t xml:space="preserve">: quando il tumore non invade il tessuto connettivo </w:t>
      </w:r>
      <w:proofErr w:type="spellStart"/>
      <w:r w:rsidRPr="00C6755E">
        <w:t>sottoepiteliale</w:t>
      </w:r>
      <w:proofErr w:type="spellEnd"/>
      <w:r w:rsidRPr="00C6755E">
        <w:t xml:space="preserve"> (lamina</w:t>
      </w:r>
      <w:r w:rsidRPr="00C6755E">
        <w:rPr>
          <w:spacing w:val="-10"/>
        </w:rPr>
        <w:t xml:space="preserve"> </w:t>
      </w:r>
      <w:r w:rsidRPr="00C6755E">
        <w:t>propria)</w:t>
      </w:r>
    </w:p>
    <w:p w:rsidR="00332E2E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lastRenderedPageBreak/>
        <w:t>Stadio T1</w:t>
      </w:r>
      <w:r w:rsidRPr="00C6755E">
        <w:t xml:space="preserve">: quando il tumore invade il tessuto connettivo </w:t>
      </w:r>
      <w:proofErr w:type="spellStart"/>
      <w:r w:rsidRPr="00C6755E">
        <w:t>sottoepiteliale</w:t>
      </w:r>
      <w:proofErr w:type="spellEnd"/>
      <w:r w:rsidRPr="00C6755E">
        <w:t xml:space="preserve"> (lamina propria) ma non </w:t>
      </w:r>
      <w:r w:rsidRPr="00C6755E">
        <w:rPr>
          <w:spacing w:val="-3"/>
        </w:rPr>
        <w:t xml:space="preserve">lo </w:t>
      </w:r>
      <w:r w:rsidRPr="00C6755E">
        <w:t>strato</w:t>
      </w:r>
      <w:r w:rsidRPr="00C6755E">
        <w:rPr>
          <w:spacing w:val="-2"/>
        </w:rPr>
        <w:t xml:space="preserve"> </w:t>
      </w:r>
      <w:r w:rsidRPr="00C6755E">
        <w:t>muscolare</w:t>
      </w:r>
    </w:p>
    <w:p w:rsidR="00332E2E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t>Stadio T2</w:t>
      </w:r>
      <w:r w:rsidRPr="00C6755E">
        <w:t>: quando il tumore invade il tessuto</w:t>
      </w:r>
      <w:r w:rsidRPr="00C6755E">
        <w:rPr>
          <w:spacing w:val="-5"/>
        </w:rPr>
        <w:t xml:space="preserve"> </w:t>
      </w:r>
      <w:r w:rsidRPr="00C6755E">
        <w:t>muscolare</w:t>
      </w:r>
    </w:p>
    <w:p w:rsidR="00332E2E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t>Stadio T3</w:t>
      </w:r>
      <w:r w:rsidRPr="00C6755E">
        <w:t>: quando il tumore invade i tessuti peri-vescicali</w:t>
      </w:r>
      <w:r w:rsidRPr="00C6755E">
        <w:rPr>
          <w:spacing w:val="-4"/>
        </w:rPr>
        <w:t xml:space="preserve"> </w:t>
      </w:r>
      <w:r w:rsidRPr="00C6755E">
        <w:t>(grasso)</w:t>
      </w:r>
    </w:p>
    <w:p w:rsidR="008709E7" w:rsidRPr="00C6755E" w:rsidRDefault="008709E7" w:rsidP="00332E2E">
      <w:pPr>
        <w:pStyle w:val="Corpotesto"/>
        <w:numPr>
          <w:ilvl w:val="0"/>
          <w:numId w:val="13"/>
        </w:numPr>
        <w:kinsoku w:val="0"/>
        <w:overflowPunct w:val="0"/>
        <w:jc w:val="both"/>
      </w:pPr>
      <w:r w:rsidRPr="00C6755E">
        <w:rPr>
          <w:i/>
          <w:iCs/>
        </w:rPr>
        <w:t>Stadio T4</w:t>
      </w:r>
      <w:r w:rsidRPr="00C6755E">
        <w:t>: quando il tumore infiltra la parete pelvica e addominale e/o gli organi adiacenti, prostata o utero e vagina,</w:t>
      </w:r>
      <w:r w:rsidRPr="00C6755E">
        <w:rPr>
          <w:spacing w:val="-3"/>
        </w:rPr>
        <w:t xml:space="preserve"> </w:t>
      </w:r>
      <w:r w:rsidRPr="00C6755E">
        <w:t>retto.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Diagnosi precoce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 xml:space="preserve">Non esistono segni o sintomi specifici delle neoplasie </w:t>
      </w:r>
      <w:proofErr w:type="spellStart"/>
      <w:r w:rsidRPr="00C6755E">
        <w:t>uroteliali</w:t>
      </w:r>
      <w:proofErr w:type="spellEnd"/>
      <w:r w:rsidRPr="00C6755E">
        <w:t xml:space="preserve"> che ne consentano una diagnosi precoce con ragionevole certezza. Il segno clinico di più frequente riscontro alla diagnosi, l’ematuria (presenza di sangue nelle urine), è infatti comune anche alle ben più frequenti infezioni urinarie con le quali è condivisa anche gran parte del restante corredo sintomatologico. Il persistere o ripetersi dell’ematuria, particolarmente </w:t>
      </w:r>
      <w:r w:rsidRPr="00C6755E">
        <w:rPr>
          <w:spacing w:val="-3"/>
        </w:rPr>
        <w:t xml:space="preserve">in </w:t>
      </w:r>
      <w:r w:rsidRPr="00C6755E">
        <w:t>persone a rischio (fumatori, esposizioni professionali) o con anamnesi positiva per tale patologia, deve tuttavia indurre all’effettuazione di una cistoscopia di controllo associata a citologia urinaria. In caso di negatività</w:t>
      </w:r>
      <w:r w:rsidRPr="00C6755E">
        <w:rPr>
          <w:spacing w:val="-6"/>
        </w:rPr>
        <w:t xml:space="preserve"> </w:t>
      </w:r>
      <w:r w:rsidRPr="00C6755E">
        <w:t>va</w:t>
      </w:r>
      <w:r w:rsidRPr="00C6755E">
        <w:rPr>
          <w:spacing w:val="-3"/>
        </w:rPr>
        <w:t xml:space="preserve"> </w:t>
      </w:r>
      <w:r w:rsidRPr="00C6755E">
        <w:t>considerata</w:t>
      </w:r>
      <w:r w:rsidRPr="00C6755E">
        <w:rPr>
          <w:spacing w:val="-3"/>
        </w:rPr>
        <w:t xml:space="preserve"> </w:t>
      </w:r>
      <w:r w:rsidRPr="00C6755E">
        <w:t>l’effettuazione</w:t>
      </w:r>
      <w:r w:rsidRPr="00C6755E">
        <w:rPr>
          <w:spacing w:val="-2"/>
        </w:rPr>
        <w:t xml:space="preserve"> </w:t>
      </w:r>
      <w:r w:rsidRPr="00C6755E">
        <w:t>di</w:t>
      </w:r>
      <w:r w:rsidRPr="00C6755E">
        <w:rPr>
          <w:spacing w:val="-7"/>
        </w:rPr>
        <w:t xml:space="preserve"> </w:t>
      </w:r>
      <w:r w:rsidRPr="00C6755E">
        <w:t>una</w:t>
      </w:r>
      <w:r w:rsidRPr="00C6755E">
        <w:rPr>
          <w:spacing w:val="-3"/>
        </w:rPr>
        <w:t xml:space="preserve"> </w:t>
      </w:r>
      <w:r w:rsidRPr="00C6755E">
        <w:t>ecografia</w:t>
      </w:r>
      <w:r w:rsidRPr="00C6755E">
        <w:rPr>
          <w:spacing w:val="-4"/>
        </w:rPr>
        <w:t xml:space="preserve"> </w:t>
      </w:r>
      <w:r w:rsidRPr="00C6755E">
        <w:t>o</w:t>
      </w:r>
      <w:r w:rsidRPr="00C6755E">
        <w:rPr>
          <w:spacing w:val="-4"/>
        </w:rPr>
        <w:t xml:space="preserve"> </w:t>
      </w:r>
      <w:r w:rsidRPr="00C6755E">
        <w:t>uro-TC</w:t>
      </w:r>
      <w:r w:rsidRPr="00C6755E">
        <w:rPr>
          <w:spacing w:val="-4"/>
        </w:rPr>
        <w:t xml:space="preserve"> </w:t>
      </w:r>
      <w:r w:rsidRPr="00C6755E">
        <w:t>delle</w:t>
      </w:r>
      <w:r w:rsidRPr="00C6755E">
        <w:rPr>
          <w:spacing w:val="-3"/>
        </w:rPr>
        <w:t xml:space="preserve"> </w:t>
      </w:r>
      <w:r w:rsidRPr="00C6755E">
        <w:t>alte</w:t>
      </w:r>
      <w:r w:rsidRPr="00C6755E">
        <w:rPr>
          <w:spacing w:val="-5"/>
        </w:rPr>
        <w:t xml:space="preserve"> </w:t>
      </w:r>
      <w:r w:rsidRPr="00C6755E">
        <w:t>vie</w:t>
      </w:r>
      <w:r w:rsidRPr="00C6755E">
        <w:rPr>
          <w:spacing w:val="-5"/>
        </w:rPr>
        <w:t xml:space="preserve"> </w:t>
      </w:r>
      <w:r w:rsidRPr="00C6755E">
        <w:t>urinarie.</w:t>
      </w:r>
      <w:r w:rsidRPr="00C6755E">
        <w:rPr>
          <w:spacing w:val="-4"/>
        </w:rPr>
        <w:t xml:space="preserve"> </w:t>
      </w:r>
      <w:r w:rsidRPr="00C6755E">
        <w:t>Nel</w:t>
      </w:r>
      <w:r w:rsidRPr="00C6755E">
        <w:rPr>
          <w:spacing w:val="-5"/>
        </w:rPr>
        <w:t xml:space="preserve"> </w:t>
      </w:r>
      <w:r w:rsidRPr="00C6755E">
        <w:t>caso</w:t>
      </w:r>
      <w:r w:rsidRPr="00C6755E">
        <w:rPr>
          <w:spacing w:val="-4"/>
        </w:rPr>
        <w:t xml:space="preserve"> </w:t>
      </w:r>
      <w:r w:rsidRPr="00C6755E">
        <w:t>di</w:t>
      </w:r>
      <w:r w:rsidRPr="00C6755E">
        <w:rPr>
          <w:spacing w:val="-6"/>
        </w:rPr>
        <w:t xml:space="preserve"> </w:t>
      </w:r>
      <w:r w:rsidRPr="00C6755E">
        <w:t>malattia avanzata possono associarsi disturbi specifici derivanti dalle aree interessate dalla malattia e/o</w:t>
      </w:r>
      <w:r w:rsidRPr="00C6755E">
        <w:rPr>
          <w:spacing w:val="-15"/>
        </w:rPr>
        <w:t xml:space="preserve"> </w:t>
      </w:r>
      <w:r w:rsidRPr="00C6755E">
        <w:t>dolore.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Incidenza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  <w:rPr>
          <w:b/>
          <w:bCs/>
        </w:rPr>
      </w:pPr>
      <w:r w:rsidRPr="00C6755E">
        <w:rPr>
          <w:b/>
          <w:bCs/>
        </w:rPr>
        <w:t xml:space="preserve">Sono 29.700 i nuovi casi di tumore della vescica attesi in Italia nel 2019 </w:t>
      </w:r>
      <w:r w:rsidRPr="00C6755E">
        <w:t>(24.000 negli uomini e 5.700 nelle donne). Il tumore della vescica rappresenta la quarta neoplasia più frequente negli uomini (12%) e la quinta nella</w:t>
      </w:r>
      <w:r w:rsidRPr="00C6755E">
        <w:rPr>
          <w:spacing w:val="-8"/>
        </w:rPr>
        <w:t xml:space="preserve"> </w:t>
      </w:r>
      <w:r w:rsidRPr="00C6755E">
        <w:t>popolazione</w:t>
      </w:r>
      <w:r w:rsidRPr="00C6755E">
        <w:rPr>
          <w:spacing w:val="-9"/>
        </w:rPr>
        <w:t xml:space="preserve"> </w:t>
      </w:r>
      <w:r w:rsidRPr="00C6755E">
        <w:t>totale</w:t>
      </w:r>
      <w:r w:rsidRPr="00C6755E">
        <w:rPr>
          <w:spacing w:val="-9"/>
        </w:rPr>
        <w:t xml:space="preserve"> </w:t>
      </w:r>
      <w:r w:rsidRPr="00C6755E">
        <w:t>(8%).</w:t>
      </w:r>
      <w:r w:rsidRPr="00C6755E">
        <w:rPr>
          <w:spacing w:val="-7"/>
        </w:rPr>
        <w:t xml:space="preserve"> </w:t>
      </w:r>
      <w:r w:rsidRPr="00C6755E">
        <w:rPr>
          <w:b/>
          <w:bCs/>
        </w:rPr>
        <w:t>In</w:t>
      </w:r>
      <w:r w:rsidRPr="00C6755E">
        <w:rPr>
          <w:b/>
          <w:bCs/>
          <w:spacing w:val="-10"/>
        </w:rPr>
        <w:t xml:space="preserve"> </w:t>
      </w:r>
      <w:r w:rsidRPr="00C6755E">
        <w:rPr>
          <w:b/>
          <w:bCs/>
        </w:rPr>
        <w:t>Italia,</w:t>
      </w:r>
      <w:r w:rsidRPr="00C6755E">
        <w:rPr>
          <w:b/>
          <w:bCs/>
          <w:spacing w:val="-5"/>
        </w:rPr>
        <w:t xml:space="preserve"> </w:t>
      </w:r>
      <w:r w:rsidRPr="00C6755E">
        <w:rPr>
          <w:b/>
          <w:bCs/>
        </w:rPr>
        <w:t>nel</w:t>
      </w:r>
      <w:r w:rsidRPr="00C6755E">
        <w:rPr>
          <w:b/>
          <w:bCs/>
          <w:spacing w:val="-6"/>
        </w:rPr>
        <w:t xml:space="preserve"> </w:t>
      </w:r>
      <w:r w:rsidRPr="00C6755E">
        <w:rPr>
          <w:b/>
          <w:bCs/>
        </w:rPr>
        <w:t>2018,</w:t>
      </w:r>
      <w:r w:rsidRPr="00C6755E">
        <w:rPr>
          <w:b/>
          <w:bCs/>
          <w:spacing w:val="-9"/>
        </w:rPr>
        <w:t xml:space="preserve"> </w:t>
      </w:r>
      <w:r w:rsidRPr="00C6755E">
        <w:rPr>
          <w:b/>
          <w:bCs/>
        </w:rPr>
        <w:t>sono</w:t>
      </w:r>
      <w:r w:rsidRPr="00C6755E">
        <w:rPr>
          <w:b/>
          <w:bCs/>
          <w:spacing w:val="-8"/>
        </w:rPr>
        <w:t xml:space="preserve"> </w:t>
      </w:r>
      <w:r w:rsidRPr="00C6755E">
        <w:rPr>
          <w:b/>
          <w:bCs/>
        </w:rPr>
        <w:t>stati</w:t>
      </w:r>
      <w:r w:rsidRPr="00C6755E">
        <w:rPr>
          <w:b/>
          <w:bCs/>
          <w:spacing w:val="-7"/>
        </w:rPr>
        <w:t xml:space="preserve"> </w:t>
      </w:r>
      <w:r w:rsidRPr="00C6755E">
        <w:rPr>
          <w:b/>
          <w:bCs/>
        </w:rPr>
        <w:t>registrati</w:t>
      </w:r>
      <w:r w:rsidRPr="00C6755E">
        <w:rPr>
          <w:b/>
          <w:bCs/>
          <w:spacing w:val="-6"/>
        </w:rPr>
        <w:t xml:space="preserve"> </w:t>
      </w:r>
      <w:r w:rsidRPr="00C6755E">
        <w:rPr>
          <w:b/>
          <w:bCs/>
        </w:rPr>
        <w:t>1.900</w:t>
      </w:r>
      <w:r w:rsidRPr="00C6755E">
        <w:rPr>
          <w:b/>
          <w:bCs/>
          <w:spacing w:val="-6"/>
        </w:rPr>
        <w:t xml:space="preserve"> </w:t>
      </w:r>
      <w:r w:rsidRPr="00C6755E">
        <w:rPr>
          <w:b/>
          <w:bCs/>
        </w:rPr>
        <w:t>nuovi</w:t>
      </w:r>
      <w:r w:rsidRPr="00C6755E">
        <w:rPr>
          <w:b/>
          <w:bCs/>
          <w:spacing w:val="-8"/>
        </w:rPr>
        <w:t xml:space="preserve"> </w:t>
      </w:r>
      <w:r w:rsidRPr="00C6755E">
        <w:rPr>
          <w:b/>
          <w:bCs/>
        </w:rPr>
        <w:t>casi</w:t>
      </w:r>
      <w:r w:rsidRPr="00C6755E">
        <w:rPr>
          <w:b/>
          <w:bCs/>
          <w:spacing w:val="-6"/>
        </w:rPr>
        <w:t xml:space="preserve"> </w:t>
      </w:r>
      <w:r w:rsidRPr="00C6755E">
        <w:rPr>
          <w:b/>
          <w:bCs/>
        </w:rPr>
        <w:t>di</w:t>
      </w:r>
      <w:r w:rsidRPr="00C6755E">
        <w:rPr>
          <w:b/>
          <w:bCs/>
          <w:spacing w:val="-7"/>
        </w:rPr>
        <w:t xml:space="preserve"> </w:t>
      </w:r>
      <w:r w:rsidRPr="00C6755E">
        <w:rPr>
          <w:b/>
          <w:bCs/>
        </w:rPr>
        <w:t>carcinomi</w:t>
      </w:r>
      <w:r w:rsidRPr="00C6755E">
        <w:rPr>
          <w:b/>
          <w:bCs/>
          <w:spacing w:val="-5"/>
        </w:rPr>
        <w:t xml:space="preserve"> </w:t>
      </w:r>
      <w:proofErr w:type="spellStart"/>
      <w:r w:rsidRPr="00C6755E">
        <w:rPr>
          <w:b/>
          <w:bCs/>
        </w:rPr>
        <w:t>uroteliali</w:t>
      </w:r>
      <w:proofErr w:type="spellEnd"/>
      <w:r w:rsidRPr="00C6755E">
        <w:rPr>
          <w:b/>
          <w:bCs/>
        </w:rPr>
        <w:t xml:space="preserve"> delle vie escretrici (1.300 uomini e 600</w:t>
      </w:r>
      <w:r w:rsidRPr="00C6755E">
        <w:rPr>
          <w:b/>
          <w:bCs/>
          <w:spacing w:val="-2"/>
        </w:rPr>
        <w:t xml:space="preserve"> </w:t>
      </w:r>
      <w:r w:rsidRPr="00C6755E">
        <w:rPr>
          <w:b/>
          <w:bCs/>
        </w:rPr>
        <w:t>donne).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  <w:rPr>
          <w:b/>
          <w:bCs/>
          <w:sz w:val="21"/>
          <w:szCs w:val="21"/>
        </w:rPr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Mortalità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rPr>
          <w:b/>
          <w:bCs/>
        </w:rPr>
        <w:t xml:space="preserve">Nel 2016, in Italia, i decessi per il tumore della vescica in Italia sono stati 6.230 </w:t>
      </w:r>
      <w:r w:rsidRPr="00C6755E">
        <w:t>(4.883 negli uomini e 1.347 nelle donne) (ISTAT 2016).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Sopravvivenza</w:t>
      </w:r>
    </w:p>
    <w:p w:rsidR="00846821" w:rsidRPr="00C6755E" w:rsidRDefault="002B3C15" w:rsidP="00332E2E">
      <w:pPr>
        <w:pStyle w:val="Corpotesto"/>
        <w:kinsoku w:val="0"/>
        <w:overflowPunct w:val="0"/>
        <w:jc w:val="both"/>
      </w:pPr>
      <w:r w:rsidRPr="00C6755E"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881380</wp:posOffset>
                </wp:positionV>
                <wp:extent cx="976630" cy="1403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09E7" w:rsidRDefault="008709E7">
                            <w:pPr>
                              <w:pStyle w:val="Corpotesto"/>
                              <w:kinsoku w:val="0"/>
                              <w:overflowPunct w:val="0"/>
                              <w:spacing w:line="221" w:lineRule="exac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tumore delle vie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65pt;margin-top:69.4pt;width:76.9pt;height:11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" o:allowincell="f" filled="f" stroked="f">
                <v:textbox inset="0,0,0,0">
                  <w:txbxContent>
                    <w:p w:rsidR="008709E7" w:rsidRDefault="008709E7">
                      <w:pPr>
                        <w:pStyle w:val="Corpotesto"/>
                        <w:kinsoku w:val="0"/>
                        <w:overflowPunct w:val="0"/>
                        <w:spacing w:line="221" w:lineRule="exact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tumore delle vie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6755E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853440</wp:posOffset>
                </wp:positionV>
                <wp:extent cx="4858385" cy="169545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8385" cy="169545"/>
                        </a:xfrm>
                        <a:custGeom>
                          <a:avLst/>
                          <a:gdLst>
                            <a:gd name="T0" fmla="*/ 0 w 7651"/>
                            <a:gd name="T1" fmla="*/ 266 h 267"/>
                            <a:gd name="T2" fmla="*/ 7650 w 7651"/>
                            <a:gd name="T3" fmla="*/ 266 h 267"/>
                            <a:gd name="T4" fmla="*/ 7650 w 7651"/>
                            <a:gd name="T5" fmla="*/ 0 h 267"/>
                            <a:gd name="T6" fmla="*/ 0 w 7651"/>
                            <a:gd name="T7" fmla="*/ 0 h 267"/>
                            <a:gd name="T8" fmla="*/ 0 w 7651"/>
                            <a:gd name="T9" fmla="*/ 266 h 2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651" h="267">
                              <a:moveTo>
                                <a:pt x="0" y="266"/>
                              </a:moveTo>
                              <a:lnTo>
                                <a:pt x="7650" y="266"/>
                              </a:lnTo>
                              <a:lnTo>
                                <a:pt x="7650" y="0"/>
                              </a:lnTo>
                              <a:lnTo>
                                <a:pt x="0" y="0"/>
                              </a:lnTo>
                              <a:lnTo>
                                <a:pt x="0" y="2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394AF" id="Freeform 3" o:spid="_x0000_s1026" style="position:absolute;margin-left:56.6pt;margin-top:67.2pt;width:382.55pt;height:13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1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" o:allowincell="f" path="m,266r7650,l7650,,,,,266xe" stroked="f">
                <v:path arrowok="t" o:connecttype="custom" o:connectlocs="0,168910;4857750,168910;4857750,0;0,0;0,168910" o:connectangles="0,0,0,0,0"/>
                <w10:wrap anchorx="page"/>
              </v:shape>
            </w:pict>
          </mc:Fallback>
        </mc:AlternateContent>
      </w:r>
      <w:r w:rsidR="008709E7" w:rsidRPr="00C6755E">
        <w:rPr>
          <w:b/>
          <w:bCs/>
        </w:rPr>
        <w:t xml:space="preserve">La sopravvivenza a 5 anni nei tumori della vescica, in Italia, è pari al 79%. </w:t>
      </w:r>
      <w:r w:rsidR="008709E7" w:rsidRPr="00C6755E">
        <w:t xml:space="preserve">La sopravvivenza a 5 anni è pari al 96% nei giovani (15-44 anni), 89% per l’età 45-54 anni, 86% in età 55-64, 80% per l’età 65-74 anni, leggermente inferiore, 66%, per gli anziani (75+). La probabilità di sopravvivere altri 5 anni dalla diagnosi, essendo vissuti il primo anno, è pari a 86% negli uomini e a 85% nelle donne, rispettivamente. Si evidenziano livelli leggermente inferiori </w:t>
      </w:r>
      <w:r w:rsidR="008709E7" w:rsidRPr="00C6755E">
        <w:rPr>
          <w:spacing w:val="-3"/>
        </w:rPr>
        <w:t xml:space="preserve">nel </w:t>
      </w:r>
      <w:r w:rsidR="008709E7" w:rsidRPr="00C6755E">
        <w:t xml:space="preserve">Centro: Nord Italia (79-80%), Centro (77%) e Sud (79%). 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  <w:rPr>
          <w:b/>
          <w:bCs/>
        </w:rPr>
      </w:pPr>
      <w:r w:rsidRPr="00C6755E">
        <w:rPr>
          <w:b/>
          <w:bCs/>
        </w:rPr>
        <w:t>I</w:t>
      </w:r>
      <w:r w:rsidR="00846821" w:rsidRPr="00C6755E">
        <w:rPr>
          <w:b/>
          <w:bCs/>
        </w:rPr>
        <w:t xml:space="preserve"> carcinomi </w:t>
      </w:r>
      <w:proofErr w:type="spellStart"/>
      <w:r w:rsidR="00846821" w:rsidRPr="00C6755E">
        <w:rPr>
          <w:b/>
          <w:bCs/>
        </w:rPr>
        <w:t>uroteliali</w:t>
      </w:r>
      <w:proofErr w:type="spellEnd"/>
      <w:r w:rsidR="00846821" w:rsidRPr="00C6755E">
        <w:rPr>
          <w:b/>
          <w:bCs/>
        </w:rPr>
        <w:t xml:space="preserve"> delle vie </w:t>
      </w:r>
      <w:r w:rsidRPr="00C6755E">
        <w:rPr>
          <w:b/>
          <w:bCs/>
        </w:rPr>
        <w:t>escretrici mostra</w:t>
      </w:r>
      <w:r w:rsidR="00846821" w:rsidRPr="00C6755E">
        <w:rPr>
          <w:b/>
          <w:bCs/>
        </w:rPr>
        <w:t>no</w:t>
      </w:r>
      <w:r w:rsidRPr="00C6755E">
        <w:rPr>
          <w:b/>
          <w:bCs/>
        </w:rPr>
        <w:t xml:space="preserve"> una sopravvivenza a 5 anni pari al 60% (62% uomini e 56%</w:t>
      </w:r>
      <w:r w:rsidRPr="00C6755E">
        <w:rPr>
          <w:b/>
          <w:bCs/>
          <w:spacing w:val="-11"/>
        </w:rPr>
        <w:t xml:space="preserve"> </w:t>
      </w:r>
      <w:r w:rsidRPr="00C6755E">
        <w:rPr>
          <w:b/>
          <w:bCs/>
        </w:rPr>
        <w:t>donne).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t xml:space="preserve">Lo stadio della malattia è il fattore che maggiormente influenza la sopravvivenza dei pazienti affetti da carcinoma </w:t>
      </w:r>
      <w:proofErr w:type="spellStart"/>
      <w:r w:rsidRPr="00C6755E">
        <w:t>uroteliale</w:t>
      </w:r>
      <w:proofErr w:type="spellEnd"/>
      <w:r w:rsidRPr="00C6755E">
        <w:t xml:space="preserve">. Pazienti che presentano una neoplasia vescicale non muscolo invasiva (NMIBC) hanno un tasso di sopravvivenza a 5 anni maggiore del 90%, mentre pazienti con carcinoma </w:t>
      </w:r>
      <w:proofErr w:type="spellStart"/>
      <w:r w:rsidRPr="00C6755E">
        <w:t>uroteliale</w:t>
      </w:r>
      <w:proofErr w:type="spellEnd"/>
      <w:r w:rsidRPr="00C6755E">
        <w:t xml:space="preserve"> metastatico hanno una prognosi molto infausta con sopravvivenza a 5 anni del 6%.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bookmarkStart w:id="1" w:name="_GoBack"/>
      <w:bookmarkEnd w:id="1"/>
    </w:p>
    <w:p w:rsidR="008709E7" w:rsidRPr="00C6755E" w:rsidRDefault="008709E7" w:rsidP="00332E2E">
      <w:pPr>
        <w:pStyle w:val="Titolo2"/>
        <w:kinsoku w:val="0"/>
        <w:overflowPunct w:val="0"/>
        <w:ind w:left="0"/>
      </w:pPr>
      <w:r w:rsidRPr="00C6755E">
        <w:t>Prevalenza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  <w:r w:rsidRPr="00C6755E">
        <w:rPr>
          <w:b/>
          <w:bCs/>
        </w:rPr>
        <w:t>In Italia sono circa 277.000 le persone con pregressa diagnosi di tumore della vescica</w:t>
      </w:r>
      <w:r w:rsidRPr="00C6755E">
        <w:t>, pari al 14% dei casi</w:t>
      </w:r>
      <w:r w:rsidR="00332E2E" w:rsidRPr="00C6755E">
        <w:t xml:space="preserve"> </w:t>
      </w:r>
      <w:r w:rsidRPr="00C6755E">
        <w:t>prevalenti negli uomini e al 3% nelle donne.</w:t>
      </w:r>
    </w:p>
    <w:p w:rsidR="008709E7" w:rsidRPr="00C6755E" w:rsidRDefault="008709E7" w:rsidP="00332E2E">
      <w:pPr>
        <w:pStyle w:val="Corpotesto"/>
        <w:kinsoku w:val="0"/>
        <w:overflowPunct w:val="0"/>
        <w:jc w:val="both"/>
      </w:pPr>
    </w:p>
    <w:p w:rsidR="008709E7" w:rsidRPr="00C6755E" w:rsidRDefault="008709E7" w:rsidP="00332E2E">
      <w:pPr>
        <w:pStyle w:val="Corpotesto"/>
        <w:kinsoku w:val="0"/>
        <w:overflowPunct w:val="0"/>
        <w:rPr>
          <w:sz w:val="26"/>
          <w:szCs w:val="26"/>
        </w:rPr>
      </w:pPr>
    </w:p>
    <w:p w:rsidR="008709E7" w:rsidRDefault="008709E7" w:rsidP="00332E2E">
      <w:pPr>
        <w:pStyle w:val="Corpotesto"/>
        <w:kinsoku w:val="0"/>
        <w:overflowPunct w:val="0"/>
        <w:spacing w:line="242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 w:color="000000"/>
        </w:rPr>
        <w:t>Bibliografia</w:t>
      </w:r>
    </w:p>
    <w:p w:rsidR="008709E7" w:rsidRDefault="008709E7" w:rsidP="00332E2E">
      <w:pPr>
        <w:pStyle w:val="Corpotesto"/>
        <w:kinsoku w:val="0"/>
        <w:overflowPunct w:val="0"/>
        <w:spacing w:line="240" w:lineRule="exact"/>
        <w:rPr>
          <w:sz w:val="18"/>
          <w:szCs w:val="18"/>
        </w:rPr>
      </w:pPr>
      <w:r>
        <w:rPr>
          <w:position w:val="7"/>
          <w:sz w:val="13"/>
          <w:szCs w:val="13"/>
        </w:rPr>
        <w:t xml:space="preserve">1 </w:t>
      </w:r>
      <w:r>
        <w:rPr>
          <w:sz w:val="18"/>
          <w:szCs w:val="18"/>
        </w:rPr>
        <w:t>I numeri del cancro in Italia 2019, AIOM – AIRTUM – Fondazione AIOM-PASSI-PASSI d’Argento-SIAPEC-IAP</w:t>
      </w:r>
    </w:p>
    <w:p w:rsidR="008709E7" w:rsidRDefault="008709E7" w:rsidP="00332E2E">
      <w:pPr>
        <w:pStyle w:val="Corpotesto"/>
        <w:kinsoku w:val="0"/>
        <w:overflowPunct w:val="0"/>
        <w:spacing w:before="6"/>
        <w:jc w:val="both"/>
        <w:rPr>
          <w:sz w:val="27"/>
          <w:szCs w:val="27"/>
        </w:rPr>
      </w:pPr>
      <w:r>
        <w:rPr>
          <w:position w:val="5"/>
          <w:sz w:val="12"/>
          <w:szCs w:val="12"/>
        </w:rPr>
        <w:t xml:space="preserve">2 </w:t>
      </w:r>
      <w:r>
        <w:rPr>
          <w:sz w:val="18"/>
          <w:szCs w:val="18"/>
        </w:rPr>
        <w:t>Linee Guida AIOM, Tumori dell’</w:t>
      </w:r>
      <w:proofErr w:type="spellStart"/>
      <w:r>
        <w:rPr>
          <w:sz w:val="18"/>
          <w:szCs w:val="18"/>
        </w:rPr>
        <w:t>urotelio</w:t>
      </w:r>
      <w:proofErr w:type="spellEnd"/>
      <w:r>
        <w:rPr>
          <w:sz w:val="18"/>
          <w:szCs w:val="18"/>
        </w:rPr>
        <w:t>, Edizione 2019</w:t>
      </w:r>
    </w:p>
    <w:p w:rsidR="008709E7" w:rsidRDefault="002B3C15">
      <w:pPr>
        <w:pStyle w:val="Corpotesto"/>
        <w:kinsoku w:val="0"/>
        <w:overflowPunct w:val="0"/>
        <w:rPr>
          <w:sz w:val="28"/>
          <w:szCs w:val="28"/>
        </w:rPr>
      </w:pPr>
      <w:bookmarkStart w:id="2" w:name="8._Linfoma_di_Hodgkin"/>
      <w:bookmarkEnd w:id="2"/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0" allowOverlap="1">
                <wp:simplePos x="0" y="0"/>
                <wp:positionH relativeFrom="page">
                  <wp:posOffset>752475</wp:posOffset>
                </wp:positionH>
                <wp:positionV relativeFrom="paragraph">
                  <wp:posOffset>241935</wp:posOffset>
                </wp:positionV>
                <wp:extent cx="889000" cy="457200"/>
                <wp:effectExtent l="0" t="0" r="0" b="0"/>
                <wp:wrapTopAndBottom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09E7" w:rsidRDefault="008709E7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8709E7" w:rsidRDefault="008709E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59.25pt;margin-top:19.05pt;width:70pt;height:36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" o:allowincell="f" filled="f" stroked="f">
                <v:textbox inset="0,0,0,0">
                  <w:txbxContent>
                    <w:p w:rsidR="008709E7" w:rsidRDefault="008709E7">
                      <w:pPr>
                        <w:widowControl/>
                        <w:autoSpaceDE/>
                        <w:autoSpaceDN/>
                        <w:adjustRightInd/>
                        <w:spacing w:line="7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8709E7" w:rsidRDefault="008709E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sectPr w:rsidR="008709E7" w:rsidSect="00332E2E">
      <w:pgSz w:w="11910" w:h="16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FB9" w:rsidRDefault="00711FB9" w:rsidP="007045BF">
      <w:r>
        <w:separator/>
      </w:r>
    </w:p>
  </w:endnote>
  <w:endnote w:type="continuationSeparator" w:id="0">
    <w:p w:rsidR="00711FB9" w:rsidRDefault="00711FB9" w:rsidP="0070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FB9" w:rsidRDefault="00711FB9" w:rsidP="007045BF">
      <w:r>
        <w:separator/>
      </w:r>
    </w:p>
  </w:footnote>
  <w:footnote w:type="continuationSeparator" w:id="0">
    <w:p w:rsidR="00711FB9" w:rsidRDefault="00711FB9" w:rsidP="0070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402" w:hanging="284"/>
      </w:pPr>
      <w:rPr>
        <w:rFonts w:ascii="Calibri" w:hAnsi="Calibri"/>
        <w:b w:val="0"/>
        <w:w w:val="100"/>
        <w:sz w:val="22"/>
      </w:rPr>
    </w:lvl>
    <w:lvl w:ilvl="1">
      <w:numFmt w:val="bullet"/>
      <w:lvlText w:val="-"/>
      <w:lvlJc w:val="left"/>
      <w:pPr>
        <w:ind w:left="685" w:hanging="284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1163" w:hanging="284"/>
      </w:pPr>
    </w:lvl>
    <w:lvl w:ilvl="3">
      <w:numFmt w:val="bullet"/>
      <w:lvlText w:val="•"/>
      <w:lvlJc w:val="left"/>
      <w:pPr>
        <w:ind w:left="1646" w:hanging="284"/>
      </w:pPr>
    </w:lvl>
    <w:lvl w:ilvl="4">
      <w:numFmt w:val="bullet"/>
      <w:lvlText w:val="•"/>
      <w:lvlJc w:val="left"/>
      <w:pPr>
        <w:ind w:left="2129" w:hanging="284"/>
      </w:pPr>
    </w:lvl>
    <w:lvl w:ilvl="5">
      <w:numFmt w:val="bullet"/>
      <w:lvlText w:val="•"/>
      <w:lvlJc w:val="left"/>
      <w:pPr>
        <w:ind w:left="2612" w:hanging="284"/>
      </w:pPr>
    </w:lvl>
    <w:lvl w:ilvl="6">
      <w:numFmt w:val="bullet"/>
      <w:lvlText w:val="•"/>
      <w:lvlJc w:val="left"/>
      <w:pPr>
        <w:ind w:left="3095" w:hanging="284"/>
      </w:pPr>
    </w:lvl>
    <w:lvl w:ilvl="7">
      <w:numFmt w:val="bullet"/>
      <w:lvlText w:val="•"/>
      <w:lvlJc w:val="left"/>
      <w:pPr>
        <w:ind w:left="3578" w:hanging="284"/>
      </w:pPr>
    </w:lvl>
    <w:lvl w:ilvl="8">
      <w:numFmt w:val="bullet"/>
      <w:lvlText w:val="•"/>
      <w:lvlJc w:val="left"/>
      <w:pPr>
        <w:ind w:left="4061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62" w:hanging="360"/>
      </w:pPr>
      <w:rPr>
        <w:rFonts w:ascii="Arial" w:hAnsi="Arial"/>
        <w:b w:val="0"/>
        <w:w w:val="100"/>
        <w:sz w:val="22"/>
      </w:rPr>
    </w:lvl>
    <w:lvl w:ilvl="1">
      <w:numFmt w:val="bullet"/>
      <w:lvlText w:val="•"/>
      <w:lvlJc w:val="left"/>
      <w:pPr>
        <w:ind w:left="1628" w:hanging="360"/>
      </w:pPr>
    </w:lvl>
    <w:lvl w:ilvl="2">
      <w:numFmt w:val="bullet"/>
      <w:lvlText w:val="•"/>
      <w:lvlJc w:val="left"/>
      <w:pPr>
        <w:ind w:left="2497" w:hanging="360"/>
      </w:pPr>
    </w:lvl>
    <w:lvl w:ilvl="3">
      <w:numFmt w:val="bullet"/>
      <w:lvlText w:val="•"/>
      <w:lvlJc w:val="left"/>
      <w:pPr>
        <w:ind w:left="336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03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840" w:hanging="360"/>
      </w:pPr>
    </w:lvl>
    <w:lvl w:ilvl="8">
      <w:numFmt w:val="bullet"/>
      <w:lvlText w:val="•"/>
      <w:lvlJc w:val="left"/>
      <w:pPr>
        <w:ind w:left="770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06" w:hanging="360"/>
      </w:pPr>
      <w:rPr>
        <w:b w:val="0"/>
        <w:w w:val="99"/>
      </w:rPr>
    </w:lvl>
    <w:lvl w:ilvl="1">
      <w:numFmt w:val="bullet"/>
      <w:lvlText w:val="•"/>
      <w:lvlJc w:val="left"/>
      <w:pPr>
        <w:ind w:left="867" w:hanging="360"/>
      </w:pPr>
    </w:lvl>
    <w:lvl w:ilvl="2">
      <w:numFmt w:val="bullet"/>
      <w:lvlText w:val="•"/>
      <w:lvlJc w:val="left"/>
      <w:pPr>
        <w:ind w:left="1235" w:hanging="360"/>
      </w:pPr>
    </w:lvl>
    <w:lvl w:ilvl="3">
      <w:numFmt w:val="bullet"/>
      <w:lvlText w:val="•"/>
      <w:lvlJc w:val="left"/>
      <w:pPr>
        <w:ind w:left="1603" w:hanging="360"/>
      </w:pPr>
    </w:lvl>
    <w:lvl w:ilvl="4">
      <w:numFmt w:val="bullet"/>
      <w:lvlText w:val="•"/>
      <w:lvlJc w:val="left"/>
      <w:pPr>
        <w:ind w:left="1971" w:hanging="360"/>
      </w:pPr>
    </w:lvl>
    <w:lvl w:ilvl="5">
      <w:numFmt w:val="bullet"/>
      <w:lvlText w:val="•"/>
      <w:lvlJc w:val="left"/>
      <w:pPr>
        <w:ind w:left="2339" w:hanging="360"/>
      </w:pPr>
    </w:lvl>
    <w:lvl w:ilvl="6">
      <w:numFmt w:val="bullet"/>
      <w:lvlText w:val="•"/>
      <w:lvlJc w:val="left"/>
      <w:pPr>
        <w:ind w:left="2707" w:hanging="360"/>
      </w:pPr>
    </w:lvl>
    <w:lvl w:ilvl="7">
      <w:numFmt w:val="bullet"/>
      <w:lvlText w:val="•"/>
      <w:lvlJc w:val="left"/>
      <w:pPr>
        <w:ind w:left="3075" w:hanging="360"/>
      </w:pPr>
    </w:lvl>
    <w:lvl w:ilvl="8">
      <w:numFmt w:val="bullet"/>
      <w:lvlText w:val="•"/>
      <w:lvlJc w:val="left"/>
      <w:pPr>
        <w:ind w:left="3443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304" w:hanging="284"/>
      </w:pPr>
    </w:lvl>
    <w:lvl w:ilvl="2">
      <w:numFmt w:val="bullet"/>
      <w:lvlText w:val="•"/>
      <w:lvlJc w:val="left"/>
      <w:pPr>
        <w:ind w:left="2209" w:hanging="284"/>
      </w:pPr>
    </w:lvl>
    <w:lvl w:ilvl="3">
      <w:numFmt w:val="bullet"/>
      <w:lvlText w:val="•"/>
      <w:lvlJc w:val="left"/>
      <w:pPr>
        <w:ind w:left="3113" w:hanging="284"/>
      </w:pPr>
    </w:lvl>
    <w:lvl w:ilvl="4">
      <w:numFmt w:val="bullet"/>
      <w:lvlText w:val="•"/>
      <w:lvlJc w:val="left"/>
      <w:pPr>
        <w:ind w:left="4018" w:hanging="284"/>
      </w:pPr>
    </w:lvl>
    <w:lvl w:ilvl="5">
      <w:numFmt w:val="bullet"/>
      <w:lvlText w:val="•"/>
      <w:lvlJc w:val="left"/>
      <w:pPr>
        <w:ind w:left="4923" w:hanging="284"/>
      </w:pPr>
    </w:lvl>
    <w:lvl w:ilvl="6">
      <w:numFmt w:val="bullet"/>
      <w:lvlText w:val="•"/>
      <w:lvlJc w:val="left"/>
      <w:pPr>
        <w:ind w:left="5827" w:hanging="284"/>
      </w:pPr>
    </w:lvl>
    <w:lvl w:ilvl="7">
      <w:numFmt w:val="bullet"/>
      <w:lvlText w:val="•"/>
      <w:lvlJc w:val="left"/>
      <w:pPr>
        <w:ind w:left="6732" w:hanging="284"/>
      </w:pPr>
    </w:lvl>
    <w:lvl w:ilvl="8">
      <w:numFmt w:val="bullet"/>
      <w:lvlText w:val="•"/>
      <w:lvlJc w:val="left"/>
      <w:pPr>
        <w:ind w:left="7637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13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3120" w:hanging="284"/>
      </w:pPr>
    </w:lvl>
    <w:lvl w:ilvl="2">
      <w:numFmt w:val="bullet"/>
      <w:lvlText w:val="•"/>
      <w:lvlJc w:val="left"/>
      <w:pPr>
        <w:ind w:left="3806" w:hanging="284"/>
      </w:pPr>
    </w:lvl>
    <w:lvl w:ilvl="3">
      <w:numFmt w:val="bullet"/>
      <w:lvlText w:val="•"/>
      <w:lvlJc w:val="left"/>
      <w:pPr>
        <w:ind w:left="4493" w:hanging="284"/>
      </w:pPr>
    </w:lvl>
    <w:lvl w:ilvl="4">
      <w:numFmt w:val="bullet"/>
      <w:lvlText w:val="•"/>
      <w:lvlJc w:val="left"/>
      <w:pPr>
        <w:ind w:left="5179" w:hanging="284"/>
      </w:pPr>
    </w:lvl>
    <w:lvl w:ilvl="5">
      <w:numFmt w:val="bullet"/>
      <w:lvlText w:val="•"/>
      <w:lvlJc w:val="left"/>
      <w:pPr>
        <w:ind w:left="5866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239" w:hanging="284"/>
      </w:pPr>
    </w:lvl>
    <w:lvl w:ilvl="8">
      <w:numFmt w:val="bullet"/>
      <w:lvlText w:val="•"/>
      <w:lvlJc w:val="left"/>
      <w:pPr>
        <w:ind w:left="7926" w:hanging="2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473" w:hanging="361"/>
      </w:pPr>
      <w:rPr>
        <w:rFonts w:ascii="Symbol" w:hAnsi="Symbol"/>
        <w:b w:val="0"/>
        <w:w w:val="100"/>
        <w:sz w:val="22"/>
      </w:rPr>
    </w:lvl>
    <w:lvl w:ilvl="1">
      <w:numFmt w:val="bullet"/>
      <w:lvlText w:val="-"/>
      <w:lvlJc w:val="left"/>
      <w:pPr>
        <w:ind w:left="473" w:hanging="202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2365" w:hanging="202"/>
      </w:pPr>
    </w:lvl>
    <w:lvl w:ilvl="3">
      <w:numFmt w:val="bullet"/>
      <w:lvlText w:val="•"/>
      <w:lvlJc w:val="left"/>
      <w:pPr>
        <w:ind w:left="3307" w:hanging="202"/>
      </w:pPr>
    </w:lvl>
    <w:lvl w:ilvl="4">
      <w:numFmt w:val="bullet"/>
      <w:lvlText w:val="•"/>
      <w:lvlJc w:val="left"/>
      <w:pPr>
        <w:ind w:left="4250" w:hanging="202"/>
      </w:pPr>
    </w:lvl>
    <w:lvl w:ilvl="5">
      <w:numFmt w:val="bullet"/>
      <w:lvlText w:val="•"/>
      <w:lvlJc w:val="left"/>
      <w:pPr>
        <w:ind w:left="5193" w:hanging="202"/>
      </w:pPr>
    </w:lvl>
    <w:lvl w:ilvl="6">
      <w:numFmt w:val="bullet"/>
      <w:lvlText w:val="•"/>
      <w:lvlJc w:val="left"/>
      <w:pPr>
        <w:ind w:left="6135" w:hanging="202"/>
      </w:pPr>
    </w:lvl>
    <w:lvl w:ilvl="7">
      <w:numFmt w:val="bullet"/>
      <w:lvlText w:val="•"/>
      <w:lvlJc w:val="left"/>
      <w:pPr>
        <w:ind w:left="7078" w:hanging="202"/>
      </w:pPr>
    </w:lvl>
    <w:lvl w:ilvl="8">
      <w:numFmt w:val="bullet"/>
      <w:lvlText w:val="•"/>
      <w:lvlJc w:val="left"/>
      <w:pPr>
        <w:ind w:left="8021" w:hanging="202"/>
      </w:pPr>
    </w:lvl>
  </w:abstractNum>
  <w:abstractNum w:abstractNumId="6" w15:restartNumberingAfterBreak="0">
    <w:nsid w:val="00000408"/>
    <w:multiLevelType w:val="multilevel"/>
    <w:tmpl w:val="0000088B"/>
    <w:lvl w:ilvl="0">
      <w:start w:val="13"/>
      <w:numFmt w:val="decimal"/>
      <w:lvlText w:val="%1"/>
      <w:lvlJc w:val="left"/>
      <w:pPr>
        <w:ind w:left="769" w:hanging="657"/>
      </w:pPr>
      <w:rPr>
        <w:rFonts w:cs="Times New Roman"/>
      </w:rPr>
    </w:lvl>
    <w:lvl w:ilvl="1">
      <w:numFmt w:val="decimalZero"/>
      <w:lvlText w:val="%1.%2"/>
      <w:lvlJc w:val="left"/>
      <w:pPr>
        <w:ind w:left="769" w:hanging="657"/>
      </w:pPr>
      <w:rPr>
        <w:rFonts w:ascii="Calibri" w:hAnsi="Calibri" w:cs="Calibri"/>
        <w:b w:val="0"/>
        <w:bCs w:val="0"/>
        <w:spacing w:val="-3"/>
        <w:w w:val="100"/>
        <w:sz w:val="22"/>
        <w:szCs w:val="22"/>
      </w:rPr>
    </w:lvl>
    <w:lvl w:ilvl="2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3">
      <w:numFmt w:val="bullet"/>
      <w:lvlText w:val="•"/>
      <w:lvlJc w:val="left"/>
      <w:pPr>
        <w:ind w:left="2854" w:hanging="360"/>
      </w:pPr>
    </w:lvl>
    <w:lvl w:ilvl="4">
      <w:numFmt w:val="bullet"/>
      <w:lvlText w:val="•"/>
      <w:lvlJc w:val="left"/>
      <w:pPr>
        <w:ind w:left="3862" w:hanging="360"/>
      </w:pPr>
    </w:lvl>
    <w:lvl w:ilvl="5">
      <w:numFmt w:val="bullet"/>
      <w:lvlText w:val="•"/>
      <w:lvlJc w:val="left"/>
      <w:pPr>
        <w:ind w:left="4869" w:hanging="360"/>
      </w:pPr>
    </w:lvl>
    <w:lvl w:ilvl="6">
      <w:numFmt w:val="bullet"/>
      <w:lvlText w:val="•"/>
      <w:lvlJc w:val="left"/>
      <w:pPr>
        <w:ind w:left="5876" w:hanging="360"/>
      </w:pPr>
    </w:lvl>
    <w:lvl w:ilvl="7">
      <w:numFmt w:val="bullet"/>
      <w:lvlText w:val="•"/>
      <w:lvlJc w:val="left"/>
      <w:pPr>
        <w:ind w:left="6884" w:hanging="360"/>
      </w:pPr>
    </w:lvl>
    <w:lvl w:ilvl="8">
      <w:numFmt w:val="bullet"/>
      <w:lvlText w:val="•"/>
      <w:lvlJc w:val="left"/>
      <w:pPr>
        <w:ind w:left="789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2" w:hanging="175"/>
      </w:pPr>
      <w:rPr>
        <w:rFonts w:ascii="Calibri" w:hAnsi="Calibri"/>
        <w:b/>
        <w:w w:val="100"/>
        <w:sz w:val="22"/>
      </w:rPr>
    </w:lvl>
    <w:lvl w:ilvl="1">
      <w:numFmt w:val="bullet"/>
      <w:lvlText w:val="•"/>
      <w:lvlJc w:val="left"/>
      <w:pPr>
        <w:ind w:left="1098" w:hanging="175"/>
      </w:pPr>
    </w:lvl>
    <w:lvl w:ilvl="2">
      <w:numFmt w:val="bullet"/>
      <w:lvlText w:val="•"/>
      <w:lvlJc w:val="left"/>
      <w:pPr>
        <w:ind w:left="2077" w:hanging="175"/>
      </w:pPr>
    </w:lvl>
    <w:lvl w:ilvl="3">
      <w:numFmt w:val="bullet"/>
      <w:lvlText w:val="•"/>
      <w:lvlJc w:val="left"/>
      <w:pPr>
        <w:ind w:left="3055" w:hanging="175"/>
      </w:pPr>
    </w:lvl>
    <w:lvl w:ilvl="4">
      <w:numFmt w:val="bullet"/>
      <w:lvlText w:val="•"/>
      <w:lvlJc w:val="left"/>
      <w:pPr>
        <w:ind w:left="4034" w:hanging="175"/>
      </w:pPr>
    </w:lvl>
    <w:lvl w:ilvl="5">
      <w:numFmt w:val="bullet"/>
      <w:lvlText w:val="•"/>
      <w:lvlJc w:val="left"/>
      <w:pPr>
        <w:ind w:left="5013" w:hanging="175"/>
      </w:pPr>
    </w:lvl>
    <w:lvl w:ilvl="6">
      <w:numFmt w:val="bullet"/>
      <w:lvlText w:val="•"/>
      <w:lvlJc w:val="left"/>
      <w:pPr>
        <w:ind w:left="5991" w:hanging="175"/>
      </w:pPr>
    </w:lvl>
    <w:lvl w:ilvl="7">
      <w:numFmt w:val="bullet"/>
      <w:lvlText w:val="•"/>
      <w:lvlJc w:val="left"/>
      <w:pPr>
        <w:ind w:left="6970" w:hanging="175"/>
      </w:pPr>
    </w:lvl>
    <w:lvl w:ilvl="8">
      <w:numFmt w:val="bullet"/>
      <w:lvlText w:val="•"/>
      <w:lvlJc w:val="left"/>
      <w:pPr>
        <w:ind w:left="7949" w:hanging="17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112" w:hanging="212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098" w:hanging="212"/>
      </w:pPr>
    </w:lvl>
    <w:lvl w:ilvl="2">
      <w:numFmt w:val="bullet"/>
      <w:lvlText w:val="•"/>
      <w:lvlJc w:val="left"/>
      <w:pPr>
        <w:ind w:left="2077" w:hanging="212"/>
      </w:pPr>
    </w:lvl>
    <w:lvl w:ilvl="3">
      <w:numFmt w:val="bullet"/>
      <w:lvlText w:val="•"/>
      <w:lvlJc w:val="left"/>
      <w:pPr>
        <w:ind w:left="3055" w:hanging="212"/>
      </w:pPr>
    </w:lvl>
    <w:lvl w:ilvl="4">
      <w:numFmt w:val="bullet"/>
      <w:lvlText w:val="•"/>
      <w:lvlJc w:val="left"/>
      <w:pPr>
        <w:ind w:left="4034" w:hanging="212"/>
      </w:pPr>
    </w:lvl>
    <w:lvl w:ilvl="5">
      <w:numFmt w:val="bullet"/>
      <w:lvlText w:val="•"/>
      <w:lvlJc w:val="left"/>
      <w:pPr>
        <w:ind w:left="5013" w:hanging="212"/>
      </w:pPr>
    </w:lvl>
    <w:lvl w:ilvl="6">
      <w:numFmt w:val="bullet"/>
      <w:lvlText w:val="•"/>
      <w:lvlJc w:val="left"/>
      <w:pPr>
        <w:ind w:left="5991" w:hanging="212"/>
      </w:pPr>
    </w:lvl>
    <w:lvl w:ilvl="7">
      <w:numFmt w:val="bullet"/>
      <w:lvlText w:val="•"/>
      <w:lvlJc w:val="left"/>
      <w:pPr>
        <w:ind w:left="6970" w:hanging="212"/>
      </w:pPr>
    </w:lvl>
    <w:lvl w:ilvl="8">
      <w:numFmt w:val="bullet"/>
      <w:lvlText w:val="•"/>
      <w:lvlJc w:val="left"/>
      <w:pPr>
        <w:ind w:left="7949" w:hanging="2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746" w:hanging="360"/>
      </w:pPr>
    </w:lvl>
    <w:lvl w:ilvl="2">
      <w:numFmt w:val="bullet"/>
      <w:lvlText w:val="•"/>
      <w:lvlJc w:val="left"/>
      <w:pPr>
        <w:ind w:left="2653" w:hanging="360"/>
      </w:pPr>
    </w:lvl>
    <w:lvl w:ilvl="3">
      <w:numFmt w:val="bullet"/>
      <w:lvlText w:val="•"/>
      <w:lvlJc w:val="left"/>
      <w:pPr>
        <w:ind w:left="3559" w:hanging="360"/>
      </w:pPr>
    </w:lvl>
    <w:lvl w:ilvl="4">
      <w:numFmt w:val="bullet"/>
      <w:lvlText w:val="•"/>
      <w:lvlJc w:val="left"/>
      <w:pPr>
        <w:ind w:left="4466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79" w:hanging="360"/>
      </w:pPr>
    </w:lvl>
    <w:lvl w:ilvl="7">
      <w:numFmt w:val="bullet"/>
      <w:lvlText w:val="•"/>
      <w:lvlJc w:val="left"/>
      <w:pPr>
        <w:ind w:left="7186" w:hanging="360"/>
      </w:pPr>
    </w:lvl>
    <w:lvl w:ilvl="8">
      <w:numFmt w:val="bullet"/>
      <w:lvlText w:val="•"/>
      <w:lvlJc w:val="left"/>
      <w:pPr>
        <w:ind w:left="8093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8" w:hanging="360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7" w:hanging="360"/>
      </w:pPr>
    </w:lvl>
    <w:lvl w:ilvl="4">
      <w:numFmt w:val="bullet"/>
      <w:lvlText w:val="•"/>
      <w:lvlJc w:val="left"/>
      <w:pPr>
        <w:ind w:left="4223" w:hanging="360"/>
      </w:pPr>
    </w:lvl>
    <w:lvl w:ilvl="5">
      <w:numFmt w:val="bullet"/>
      <w:lvlText w:val="•"/>
      <w:lvlJc w:val="left"/>
      <w:pPr>
        <w:ind w:left="5069" w:hanging="360"/>
      </w:pPr>
    </w:lvl>
    <w:lvl w:ilvl="6">
      <w:numFmt w:val="bullet"/>
      <w:lvlText w:val="•"/>
      <w:lvlJc w:val="left"/>
      <w:pPr>
        <w:ind w:left="5915" w:hanging="360"/>
      </w:pPr>
    </w:lvl>
    <w:lvl w:ilvl="7">
      <w:numFmt w:val="bullet"/>
      <w:lvlText w:val="•"/>
      <w:lvlJc w:val="left"/>
      <w:pPr>
        <w:ind w:left="6761" w:hanging="360"/>
      </w:pPr>
    </w:lvl>
    <w:lvl w:ilvl="8">
      <w:numFmt w:val="bullet"/>
      <w:lvlText w:val="•"/>
      <w:lvlJc w:val="left"/>
      <w:pPr>
        <w:ind w:left="7607" w:hanging="360"/>
      </w:pPr>
    </w:lvl>
  </w:abstractNum>
  <w:abstractNum w:abstractNumId="11" w15:restartNumberingAfterBreak="0">
    <w:nsid w:val="1D7D77C2"/>
    <w:multiLevelType w:val="hybridMultilevel"/>
    <w:tmpl w:val="5DE82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A4142"/>
    <w:multiLevelType w:val="hybridMultilevel"/>
    <w:tmpl w:val="98E865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BF"/>
    <w:rsid w:val="002624BE"/>
    <w:rsid w:val="002B3C15"/>
    <w:rsid w:val="00332E2E"/>
    <w:rsid w:val="00556EF2"/>
    <w:rsid w:val="005A6202"/>
    <w:rsid w:val="007045BF"/>
    <w:rsid w:val="00711FB9"/>
    <w:rsid w:val="008177C8"/>
    <w:rsid w:val="00846821"/>
    <w:rsid w:val="008709E7"/>
    <w:rsid w:val="00901A22"/>
    <w:rsid w:val="00906482"/>
    <w:rsid w:val="00A3373E"/>
    <w:rsid w:val="00A6090F"/>
    <w:rsid w:val="00AB3EA6"/>
    <w:rsid w:val="00B07F80"/>
    <w:rsid w:val="00C6755E"/>
    <w:rsid w:val="00D00EE1"/>
    <w:rsid w:val="00F24470"/>
    <w:rsid w:val="00FC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B571E"/>
  <w14:defaultImageDpi w14:val="0"/>
  <w15:docId w15:val="{B7FF6346-0965-4A86-8569-0C6681AC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4"/>
      <w:ind w:left="2037" w:right="20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line="293" w:lineRule="exact"/>
      <w:ind w:left="112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402" w:hanging="361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5BF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5B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03ac5bc8-a729-4fd2-9278-917130bed417" value=""/>
</sisl>
</file>

<file path=customXml/itemProps1.xml><?xml version="1.0" encoding="utf-8"?>
<ds:datastoreItem xmlns:ds="http://schemas.openxmlformats.org/officeDocument/2006/customXml" ds:itemID="{F45BD3B5-AE9C-4C3B-A792-9381BA4F40D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1048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</dc:creator>
  <cp:keywords/>
  <dc:description/>
  <cp:lastModifiedBy>Paolo Cabra - Intermedia</cp:lastModifiedBy>
  <cp:revision>4</cp:revision>
  <dcterms:created xsi:type="dcterms:W3CDTF">2019-12-12T11:14:00Z</dcterms:created>
  <dcterms:modified xsi:type="dcterms:W3CDTF">2019-12-12T12:35:00Z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docIndexRef">
    <vt:lpwstr>5234d4b7-25f1-47ef-8232-c338c35959ad</vt:lpwstr>
  </property>
  <property fmtid="{D5CDD505-2E9C-101B-9397-08002B2CF9AE}" pid="4" name="bjSaver">
    <vt:lpwstr>LwDemf85Soj+U7bf0EXAFYb27qADOdre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6" name="bjDocumentLabelXML-0">
    <vt:lpwstr>ames.com/2008/01/sie/internal/label"&gt;&lt;element uid="03ac5bc8-a729-4fd2-9278-917130bed417" value="" /&gt;&lt;/sisl&gt;</vt:lpwstr>
  </property>
  <property fmtid="{D5CDD505-2E9C-101B-9397-08002B2CF9AE}" pid="7" name="bjDocumentSecurityLabel">
    <vt:lpwstr>Non Classificato-Not Classified</vt:lpwstr>
  </property>
</Properties>
</file>