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9E7" w:rsidRDefault="00E021B8" w:rsidP="00222B83">
      <w:pPr>
        <w:pStyle w:val="Corpotes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943100" cy="5524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B83" w:rsidRDefault="00222B83" w:rsidP="00222B83">
      <w:pPr>
        <w:pStyle w:val="Titolo1"/>
        <w:kinsoku w:val="0"/>
        <w:overflowPunct w:val="0"/>
        <w:spacing w:before="0"/>
        <w:ind w:left="0" w:right="0"/>
        <w:jc w:val="left"/>
      </w:pPr>
      <w:bookmarkStart w:id="0" w:name="2._Scheda_Immuno_Oncologia"/>
      <w:bookmarkStart w:id="1" w:name="4._Scheda_pembrolizumab_(002)"/>
      <w:bookmarkEnd w:id="0"/>
      <w:bookmarkEnd w:id="1"/>
    </w:p>
    <w:p w:rsidR="008709E7" w:rsidRPr="002C1CB8" w:rsidRDefault="008709E7" w:rsidP="00222B83">
      <w:pPr>
        <w:pStyle w:val="Titolo1"/>
        <w:kinsoku w:val="0"/>
        <w:overflowPunct w:val="0"/>
        <w:spacing w:before="0"/>
        <w:ind w:left="0" w:right="0"/>
      </w:pPr>
      <w:r w:rsidRPr="002C1CB8">
        <w:t>PEMBROLIZUMAB</w:t>
      </w:r>
    </w:p>
    <w:p w:rsidR="00222B83" w:rsidRPr="002C1CB8" w:rsidRDefault="00222B83" w:rsidP="00222B83">
      <w:pPr>
        <w:pStyle w:val="Corpotesto"/>
        <w:kinsoku w:val="0"/>
        <w:overflowPunct w:val="0"/>
        <w:rPr>
          <w:b/>
          <w:bCs/>
          <w:sz w:val="26"/>
          <w:szCs w:val="26"/>
        </w:rPr>
      </w:pPr>
    </w:p>
    <w:p w:rsidR="00E35AF1" w:rsidRPr="002C1CB8" w:rsidRDefault="00E35AF1" w:rsidP="00222B83">
      <w:pPr>
        <w:pStyle w:val="Corpotesto"/>
        <w:kinsoku w:val="0"/>
        <w:overflowPunct w:val="0"/>
        <w:rPr>
          <w:b/>
          <w:bCs/>
          <w:sz w:val="26"/>
          <w:szCs w:val="26"/>
        </w:rPr>
      </w:pPr>
    </w:p>
    <w:p w:rsidR="008709E7" w:rsidRPr="002C1CB8" w:rsidRDefault="008709E7" w:rsidP="00222B83">
      <w:pPr>
        <w:pStyle w:val="Corpotesto"/>
        <w:kinsoku w:val="0"/>
        <w:overflowPunct w:val="0"/>
        <w:jc w:val="both"/>
      </w:pPr>
      <w:r w:rsidRPr="002C1CB8">
        <w:t xml:space="preserve">Lo sviluppo di terapie oncologiche è classificabile in tre grandi momenti: la nascita e l’utilizzo dei chemioterapici citotossici e/o citostatici (fino al 2000), le terapie </w:t>
      </w:r>
      <w:r w:rsidRPr="002C1CB8">
        <w:rPr>
          <w:i/>
          <w:iCs/>
        </w:rPr>
        <w:t xml:space="preserve">target </w:t>
      </w:r>
      <w:r w:rsidRPr="002C1CB8">
        <w:t>con bersaglio molecolare definito (dall’anno 2001) e l’immunoterapia. Quest’ultima, dopo i limitati successi iniziali con le citochine, risalenti agli anni ’80, con l’aumento delle conoscenze sulla funzione del sistema immunitario nel controllo delle neoplasie e con la possibilità di sintetizzare anticorpi specifici, ha recentemente acquisito un ruolo terapeutico importante. Gli anticorpi rivolti alla riattivazione del controllo immunologico (</w:t>
      </w:r>
      <w:r w:rsidRPr="002C1CB8">
        <w:rPr>
          <w:i/>
          <w:iCs/>
        </w:rPr>
        <w:t>checkpoint inibitori</w:t>
      </w:r>
      <w:r w:rsidRPr="002C1CB8">
        <w:t xml:space="preserve">) hanno mostrato risultati significativamente superiori rispetto alla chemioterapia convenzionale in molti </w:t>
      </w:r>
      <w:proofErr w:type="spellStart"/>
      <w:r w:rsidRPr="002C1CB8">
        <w:t>istotipi</w:t>
      </w:r>
      <w:proofErr w:type="spellEnd"/>
      <w:r w:rsidRPr="002C1CB8">
        <w:t xml:space="preserve"> tumorali portando, in taluni casi, alla rapida approvazione dei farmaci per utilizzo terapeutico. Nell’ambito</w:t>
      </w:r>
      <w:r w:rsidRPr="002C1CB8">
        <w:rPr>
          <w:spacing w:val="-8"/>
        </w:rPr>
        <w:t xml:space="preserve"> </w:t>
      </w:r>
      <w:r w:rsidRPr="002C1CB8">
        <w:t>degli</w:t>
      </w:r>
      <w:r w:rsidRPr="002C1CB8">
        <w:rPr>
          <w:spacing w:val="-9"/>
        </w:rPr>
        <w:t xml:space="preserve"> </w:t>
      </w:r>
      <w:r w:rsidRPr="002C1CB8">
        <w:t>anticorpi</w:t>
      </w:r>
      <w:r w:rsidRPr="002C1CB8">
        <w:rPr>
          <w:spacing w:val="-12"/>
        </w:rPr>
        <w:t xml:space="preserve"> </w:t>
      </w:r>
      <w:r w:rsidRPr="002C1CB8">
        <w:t>anti</w:t>
      </w:r>
      <w:r w:rsidRPr="002C1CB8">
        <w:rPr>
          <w:spacing w:val="-8"/>
        </w:rPr>
        <w:t xml:space="preserve"> </w:t>
      </w:r>
      <w:r w:rsidRPr="002C1CB8">
        <w:t>PD-1,</w:t>
      </w:r>
      <w:r w:rsidRPr="002C1CB8">
        <w:rPr>
          <w:spacing w:val="-9"/>
        </w:rPr>
        <w:t xml:space="preserve"> </w:t>
      </w:r>
      <w:proofErr w:type="spellStart"/>
      <w:r w:rsidRPr="002C1CB8">
        <w:t>pembrolizumab</w:t>
      </w:r>
      <w:proofErr w:type="spellEnd"/>
      <w:r w:rsidRPr="002C1CB8">
        <w:rPr>
          <w:spacing w:val="-10"/>
        </w:rPr>
        <w:t xml:space="preserve"> </w:t>
      </w:r>
      <w:r w:rsidRPr="002C1CB8">
        <w:t>rappresenta</w:t>
      </w:r>
      <w:r w:rsidRPr="002C1CB8">
        <w:rPr>
          <w:spacing w:val="-8"/>
        </w:rPr>
        <w:t xml:space="preserve"> </w:t>
      </w:r>
      <w:r w:rsidRPr="002C1CB8">
        <w:t>il</w:t>
      </w:r>
      <w:r w:rsidRPr="002C1CB8">
        <w:rPr>
          <w:spacing w:val="-9"/>
        </w:rPr>
        <w:t xml:space="preserve"> </w:t>
      </w:r>
      <w:r w:rsidRPr="002C1CB8">
        <w:t>capostipite</w:t>
      </w:r>
      <w:r w:rsidRPr="002C1CB8">
        <w:rPr>
          <w:spacing w:val="-8"/>
        </w:rPr>
        <w:t xml:space="preserve"> </w:t>
      </w:r>
      <w:r w:rsidRPr="002C1CB8">
        <w:t>dei</w:t>
      </w:r>
      <w:r w:rsidRPr="002C1CB8">
        <w:rPr>
          <w:spacing w:val="-9"/>
        </w:rPr>
        <w:t xml:space="preserve"> </w:t>
      </w:r>
      <w:r w:rsidRPr="002C1CB8">
        <w:t>farmaci</w:t>
      </w:r>
      <w:r w:rsidRPr="002C1CB8">
        <w:rPr>
          <w:spacing w:val="-8"/>
        </w:rPr>
        <w:t xml:space="preserve"> </w:t>
      </w:r>
      <w:r w:rsidRPr="002C1CB8">
        <w:t>approvati</w:t>
      </w:r>
      <w:r w:rsidRPr="002C1CB8">
        <w:rPr>
          <w:spacing w:val="-9"/>
        </w:rPr>
        <w:t xml:space="preserve"> </w:t>
      </w:r>
      <w:r w:rsidRPr="002C1CB8">
        <w:t>da</w:t>
      </w:r>
      <w:r w:rsidRPr="002C1CB8">
        <w:rPr>
          <w:spacing w:val="-9"/>
        </w:rPr>
        <w:t xml:space="preserve"> </w:t>
      </w:r>
      <w:r w:rsidRPr="002C1CB8">
        <w:t>FDA (ente regolatorio americano).</w:t>
      </w:r>
    </w:p>
    <w:p w:rsidR="008709E7" w:rsidRPr="002C1CB8" w:rsidRDefault="008709E7" w:rsidP="00222B83">
      <w:pPr>
        <w:pStyle w:val="Corpotesto"/>
        <w:kinsoku w:val="0"/>
        <w:overflowPunct w:val="0"/>
      </w:pPr>
    </w:p>
    <w:p w:rsidR="008709E7" w:rsidRPr="002C1CB8" w:rsidRDefault="008709E7" w:rsidP="00222B83">
      <w:pPr>
        <w:pStyle w:val="Titolo2"/>
        <w:kinsoku w:val="0"/>
        <w:overflowPunct w:val="0"/>
        <w:ind w:left="0"/>
      </w:pPr>
      <w:r w:rsidRPr="002C1CB8">
        <w:t>PD-1 e checkpoint</w:t>
      </w:r>
      <w:r w:rsidRPr="002C1CB8">
        <w:rPr>
          <w:spacing w:val="-14"/>
        </w:rPr>
        <w:t xml:space="preserve"> </w:t>
      </w:r>
      <w:r w:rsidRPr="002C1CB8">
        <w:t>inibitori</w:t>
      </w:r>
    </w:p>
    <w:p w:rsidR="008709E7" w:rsidRPr="002C1CB8" w:rsidRDefault="008709E7" w:rsidP="00222B83">
      <w:pPr>
        <w:jc w:val="both"/>
      </w:pPr>
      <w:r w:rsidRPr="002C1CB8">
        <w:t>Scoperto nel 1992, il “</w:t>
      </w:r>
      <w:proofErr w:type="spellStart"/>
      <w:r w:rsidRPr="002C1CB8">
        <w:t>programmed</w:t>
      </w:r>
      <w:proofErr w:type="spellEnd"/>
      <w:r w:rsidRPr="002C1CB8">
        <w:t xml:space="preserve"> </w:t>
      </w:r>
      <w:proofErr w:type="spellStart"/>
      <w:r w:rsidRPr="002C1CB8">
        <w:t>death</w:t>
      </w:r>
      <w:proofErr w:type="spellEnd"/>
      <w:r w:rsidRPr="002C1CB8">
        <w:t xml:space="preserve"> receptor” (PD-1) è un membro della superfamiglia B7-CD28. </w:t>
      </w:r>
      <w:proofErr w:type="gramStart"/>
      <w:r w:rsidRPr="002C1CB8">
        <w:t>E’</w:t>
      </w:r>
      <w:proofErr w:type="gramEnd"/>
      <w:r w:rsidRPr="002C1CB8">
        <w:t xml:space="preserve"> espresso sui linfociti T attivati (CD8+, CD4+), sui linfociti B, sui monociti, sulle cellule Natural Killer (NK) e cellule presentanti l’antigene (APC), incluse le cellule dendritiche.</w:t>
      </w:r>
    </w:p>
    <w:p w:rsidR="008709E7" w:rsidRPr="002C1CB8" w:rsidRDefault="008709E7" w:rsidP="00222B83">
      <w:pPr>
        <w:jc w:val="both"/>
      </w:pPr>
      <w:r w:rsidRPr="002C1CB8">
        <w:t>Attraverso studi in modelli murini, è stato dimostrato che PD-1 ha un ruolo nella modulazione negativa della</w:t>
      </w:r>
      <w:r w:rsidR="00D163C2" w:rsidRPr="002C1CB8">
        <w:t xml:space="preserve"> </w:t>
      </w:r>
      <w:r w:rsidRPr="002C1CB8">
        <w:t>moltitudine di risposte immunologiche alle infezioni e al cancro.</w:t>
      </w:r>
    </w:p>
    <w:p w:rsidR="008709E7" w:rsidRPr="002C1CB8" w:rsidRDefault="008709E7" w:rsidP="00222B83">
      <w:pPr>
        <w:jc w:val="both"/>
      </w:pPr>
      <w:r w:rsidRPr="002C1CB8">
        <w:t xml:space="preserve">L’interazione di PD-1 con i propri </w:t>
      </w:r>
      <w:proofErr w:type="spellStart"/>
      <w:r w:rsidRPr="002C1CB8">
        <w:t>lingandi</w:t>
      </w:r>
      <w:proofErr w:type="spellEnd"/>
      <w:r w:rsidRPr="002C1CB8">
        <w:t xml:space="preserve"> PD-L1 e PD-L2 ha un effetto di regolatore negativo sulle funzioni</w:t>
      </w:r>
      <w:r w:rsidR="00D163C2" w:rsidRPr="002C1CB8">
        <w:t xml:space="preserve"> </w:t>
      </w:r>
      <w:r w:rsidRPr="002C1CB8">
        <w:t>delle cellule T e B e porta alla riduzione dell’immunità anti-tumorale e anti-infiammatoria.</w:t>
      </w:r>
    </w:p>
    <w:p w:rsidR="008709E7" w:rsidRPr="002C1CB8" w:rsidRDefault="008709E7" w:rsidP="00222B83">
      <w:pPr>
        <w:jc w:val="both"/>
      </w:pPr>
      <w:r w:rsidRPr="002C1CB8">
        <w:t>Il rapido sviluppo di agenti terapeutici in grado di bloccare il segnale PD-1/PD-L1 ha rappresentato una</w:t>
      </w:r>
      <w:r w:rsidR="00D163C2" w:rsidRPr="002C1CB8">
        <w:t xml:space="preserve"> </w:t>
      </w:r>
      <w:r w:rsidRPr="002C1CB8">
        <w:t>grande innovazione per l’oncologia.</w:t>
      </w:r>
    </w:p>
    <w:p w:rsidR="008709E7" w:rsidRPr="002C1CB8" w:rsidRDefault="008709E7" w:rsidP="00222B83">
      <w:pPr>
        <w:jc w:val="both"/>
      </w:pPr>
      <w:r w:rsidRPr="002C1CB8">
        <w:t>Nel melanoma e in molti altri tipi di tumore</w:t>
      </w:r>
      <w:r w:rsidR="00741853" w:rsidRPr="002C1CB8">
        <w:t>,</w:t>
      </w:r>
      <w:r w:rsidRPr="002C1CB8">
        <w:t xml:space="preserve"> incluso il tumore del polmone non a piccole cellule (NSCLC) e il carcinoma </w:t>
      </w:r>
      <w:proofErr w:type="spellStart"/>
      <w:r w:rsidRPr="002C1CB8">
        <w:t>uroteliale</w:t>
      </w:r>
      <w:proofErr w:type="spellEnd"/>
      <w:r w:rsidR="00741853" w:rsidRPr="002C1CB8">
        <w:t>,</w:t>
      </w:r>
      <w:r w:rsidRPr="002C1CB8">
        <w:t xml:space="preserve"> uno dei meccanismi di sviluppo e progressione della malattia è legato alla tolleranza immunologica (perdita del controllo immunologico sul tumore stesso). Una delle vie che contribuiscono ad instaurare la tolleranza immunologica è l’interazione tra PD-L1, espresso sulla superficie tumorale, e PD-1, un checkpoint di controllo immunologico che è espresso sui linfociti T-tumore specifici. Il legame tra PD-1/PD- L1 inattiva i linfociti T tumore specifici e blocca la risposta immunologica contro la malattia.</w:t>
      </w:r>
    </w:p>
    <w:p w:rsidR="008709E7" w:rsidRPr="002C1CB8" w:rsidRDefault="008709E7" w:rsidP="00222B83">
      <w:pPr>
        <w:jc w:val="both"/>
      </w:pPr>
      <w:proofErr w:type="spellStart"/>
      <w:r w:rsidRPr="002C1CB8">
        <w:t>Pembrolizumab</w:t>
      </w:r>
      <w:proofErr w:type="spellEnd"/>
      <w:r w:rsidRPr="002C1CB8">
        <w:t xml:space="preserve"> è un checkpoint inibitore, il primo approvato da FDA per l’utilizzo clinico, che, legandosi a PD-1, impedisce l’interazione tra PD-1 e PD-L1/PD-L2. In questo modo, i linfociti T tumore specifici non vengono inattivati e possono esercitare la loro azione antitumorale. Nel NSCLC l’espressione di PD-L1 da parte del tumore è cruciale per l'attività terapeutica di </w:t>
      </w:r>
      <w:proofErr w:type="spellStart"/>
      <w:r w:rsidRPr="002C1CB8">
        <w:t>pembrolizumab</w:t>
      </w:r>
      <w:proofErr w:type="spellEnd"/>
      <w:r w:rsidRPr="002C1CB8">
        <w:t>.</w:t>
      </w:r>
    </w:p>
    <w:p w:rsidR="008709E7" w:rsidRPr="002C1CB8" w:rsidRDefault="008709E7" w:rsidP="00222B83">
      <w:pPr>
        <w:jc w:val="both"/>
      </w:pPr>
    </w:p>
    <w:p w:rsidR="008709E7" w:rsidRPr="002C1CB8" w:rsidRDefault="008709E7" w:rsidP="00222B83">
      <w:pPr>
        <w:pStyle w:val="Titolo2"/>
        <w:kinsoku w:val="0"/>
        <w:overflowPunct w:val="0"/>
        <w:spacing w:line="240" w:lineRule="auto"/>
        <w:ind w:left="0"/>
      </w:pPr>
      <w:r w:rsidRPr="002C1CB8">
        <w:t>Le approvazioni in Italia:</w:t>
      </w:r>
    </w:p>
    <w:p w:rsidR="008709E7" w:rsidRPr="002C1CB8" w:rsidRDefault="008709E7" w:rsidP="00222B83">
      <w:pPr>
        <w:pStyle w:val="Corpotesto"/>
        <w:kinsoku w:val="0"/>
        <w:overflowPunct w:val="0"/>
        <w:rPr>
          <w:b/>
          <w:bCs/>
          <w:sz w:val="24"/>
          <w:szCs w:val="24"/>
        </w:rPr>
      </w:pPr>
    </w:p>
    <w:p w:rsidR="00222B83" w:rsidRPr="002C1CB8" w:rsidRDefault="008709E7" w:rsidP="00222B83">
      <w:pPr>
        <w:pStyle w:val="Titolo3"/>
        <w:kinsoku w:val="0"/>
        <w:overflowPunct w:val="0"/>
        <w:ind w:left="0"/>
      </w:pPr>
      <w:r w:rsidRPr="002C1CB8">
        <w:t>Melanoma</w:t>
      </w:r>
    </w:p>
    <w:p w:rsidR="00222B83" w:rsidRPr="002C1CB8" w:rsidRDefault="008709E7" w:rsidP="00222B83">
      <w:pPr>
        <w:pStyle w:val="Titolo3"/>
        <w:numPr>
          <w:ilvl w:val="0"/>
          <w:numId w:val="12"/>
        </w:numPr>
        <w:kinsoku w:val="0"/>
        <w:overflowPunct w:val="0"/>
        <w:jc w:val="both"/>
      </w:pPr>
      <w:r w:rsidRPr="002C1CB8">
        <w:t>Maggio 2016:</w:t>
      </w:r>
      <w:r w:rsidRPr="002C1CB8">
        <w:rPr>
          <w:b w:val="0"/>
          <w:bCs w:val="0"/>
        </w:rPr>
        <w:t xml:space="preserve"> AIFA approva </w:t>
      </w:r>
      <w:proofErr w:type="spellStart"/>
      <w:r w:rsidRPr="002C1CB8">
        <w:rPr>
          <w:b w:val="0"/>
          <w:bCs w:val="0"/>
        </w:rPr>
        <w:t>pembrolizumab</w:t>
      </w:r>
      <w:proofErr w:type="spellEnd"/>
      <w:r w:rsidRPr="002C1CB8">
        <w:rPr>
          <w:b w:val="0"/>
          <w:bCs w:val="0"/>
        </w:rPr>
        <w:t xml:space="preserve"> per il trattamento del melanoma avanzato metastatico/localmente</w:t>
      </w:r>
      <w:r w:rsidRPr="002C1CB8">
        <w:rPr>
          <w:b w:val="0"/>
          <w:bCs w:val="0"/>
          <w:spacing w:val="-3"/>
        </w:rPr>
        <w:t xml:space="preserve"> </w:t>
      </w:r>
      <w:r w:rsidRPr="002C1CB8">
        <w:rPr>
          <w:b w:val="0"/>
          <w:bCs w:val="0"/>
        </w:rPr>
        <w:t>avanzato</w:t>
      </w:r>
    </w:p>
    <w:p w:rsidR="008709E7" w:rsidRPr="002C1CB8" w:rsidRDefault="008709E7" w:rsidP="00222B83">
      <w:pPr>
        <w:pStyle w:val="Titolo3"/>
        <w:numPr>
          <w:ilvl w:val="0"/>
          <w:numId w:val="12"/>
        </w:numPr>
        <w:kinsoku w:val="0"/>
        <w:overflowPunct w:val="0"/>
        <w:jc w:val="both"/>
        <w:rPr>
          <w:b w:val="0"/>
          <w:bCs w:val="0"/>
        </w:rPr>
      </w:pPr>
      <w:r w:rsidRPr="002C1CB8">
        <w:t>Dicembre 2019</w:t>
      </w:r>
      <w:r w:rsidRPr="002C1CB8">
        <w:rPr>
          <w:b w:val="0"/>
          <w:bCs w:val="0"/>
        </w:rPr>
        <w:t xml:space="preserve">: AIFA approva </w:t>
      </w:r>
      <w:proofErr w:type="spellStart"/>
      <w:r w:rsidRPr="002C1CB8">
        <w:rPr>
          <w:b w:val="0"/>
          <w:bCs w:val="0"/>
        </w:rPr>
        <w:t>pembrolizumab</w:t>
      </w:r>
      <w:proofErr w:type="spellEnd"/>
      <w:r w:rsidRPr="002C1CB8">
        <w:rPr>
          <w:b w:val="0"/>
          <w:bCs w:val="0"/>
        </w:rPr>
        <w:t xml:space="preserve"> nel trattamento adiuvante di pazienti adulti con melanoma in stadio III e coinvolgimento dei linfonodi dopo resezione completa.</w:t>
      </w:r>
    </w:p>
    <w:p w:rsidR="008709E7" w:rsidRPr="002C1CB8" w:rsidRDefault="008709E7" w:rsidP="00222B83">
      <w:pPr>
        <w:pStyle w:val="Corpotesto"/>
        <w:kinsoku w:val="0"/>
        <w:overflowPunct w:val="0"/>
        <w:jc w:val="both"/>
        <w:rPr>
          <w:sz w:val="24"/>
          <w:szCs w:val="24"/>
        </w:rPr>
      </w:pPr>
    </w:p>
    <w:p w:rsidR="00222B83" w:rsidRPr="002C1CB8" w:rsidRDefault="008709E7" w:rsidP="00222B83">
      <w:pPr>
        <w:pStyle w:val="Titolo3"/>
        <w:kinsoku w:val="0"/>
        <w:overflowPunct w:val="0"/>
        <w:spacing w:line="268" w:lineRule="exact"/>
        <w:ind w:left="0"/>
        <w:jc w:val="both"/>
      </w:pPr>
      <w:r w:rsidRPr="002C1CB8">
        <w:t>Tumore del polmone</w:t>
      </w:r>
    </w:p>
    <w:p w:rsidR="008709E7" w:rsidRPr="002C1CB8" w:rsidRDefault="008709E7" w:rsidP="00222B83">
      <w:pPr>
        <w:pStyle w:val="Titolo3"/>
        <w:kinsoku w:val="0"/>
        <w:overflowPunct w:val="0"/>
        <w:spacing w:line="268" w:lineRule="exact"/>
        <w:ind w:left="0"/>
        <w:jc w:val="both"/>
        <w:rPr>
          <w:b w:val="0"/>
          <w:bCs w:val="0"/>
        </w:rPr>
      </w:pPr>
      <w:r w:rsidRPr="002C1CB8">
        <w:t>Maggio 2017</w:t>
      </w:r>
      <w:r w:rsidRPr="002C1CB8">
        <w:rPr>
          <w:b w:val="0"/>
          <w:bCs w:val="0"/>
        </w:rPr>
        <w:t xml:space="preserve">: AIFA ratifica l'autorizzazione all’ammissione alla rimborsabilità di </w:t>
      </w:r>
      <w:proofErr w:type="spellStart"/>
      <w:r w:rsidRPr="002C1CB8">
        <w:rPr>
          <w:b w:val="0"/>
          <w:bCs w:val="0"/>
        </w:rPr>
        <w:t>pembrolizumab</w:t>
      </w:r>
      <w:proofErr w:type="spellEnd"/>
      <w:r w:rsidRPr="002C1CB8">
        <w:rPr>
          <w:b w:val="0"/>
          <w:bCs w:val="0"/>
          <w:spacing w:val="-22"/>
        </w:rPr>
        <w:t xml:space="preserve"> </w:t>
      </w:r>
      <w:r w:rsidRPr="002C1CB8">
        <w:rPr>
          <w:b w:val="0"/>
          <w:bCs w:val="0"/>
        </w:rPr>
        <w:t>per:</w:t>
      </w:r>
    </w:p>
    <w:p w:rsidR="008709E7" w:rsidRPr="002C1CB8" w:rsidRDefault="008709E7" w:rsidP="00222B83">
      <w:pPr>
        <w:pStyle w:val="Paragrafoelenco"/>
        <w:numPr>
          <w:ilvl w:val="1"/>
          <w:numId w:val="6"/>
        </w:numPr>
        <w:tabs>
          <w:tab w:val="left" w:pos="675"/>
        </w:tabs>
        <w:kinsoku w:val="0"/>
        <w:overflowPunct w:val="0"/>
        <w:ind w:left="0" w:firstLine="0"/>
        <w:jc w:val="both"/>
        <w:rPr>
          <w:sz w:val="22"/>
          <w:szCs w:val="22"/>
        </w:rPr>
      </w:pPr>
      <w:r w:rsidRPr="002C1CB8">
        <w:rPr>
          <w:sz w:val="22"/>
          <w:szCs w:val="22"/>
        </w:rPr>
        <w:t>il trattamento in prima linea di pazienti con carcinoma polmonare metastatico non a piccole cellule (NSCLC) i cui tumori esprimano alti livelli di PDL-1 (TPS ≥ 50 %) e che non abbiano mutazioni EGFR o</w:t>
      </w:r>
      <w:r w:rsidRPr="002C1CB8">
        <w:rPr>
          <w:spacing w:val="-31"/>
          <w:sz w:val="22"/>
          <w:szCs w:val="22"/>
        </w:rPr>
        <w:t xml:space="preserve"> </w:t>
      </w:r>
      <w:r w:rsidRPr="002C1CB8">
        <w:rPr>
          <w:sz w:val="22"/>
          <w:szCs w:val="22"/>
        </w:rPr>
        <w:t>ALK</w:t>
      </w:r>
    </w:p>
    <w:p w:rsidR="00222B83" w:rsidRPr="002C1CB8" w:rsidRDefault="008709E7" w:rsidP="00222B83">
      <w:pPr>
        <w:pStyle w:val="Paragrafoelenco"/>
        <w:numPr>
          <w:ilvl w:val="1"/>
          <w:numId w:val="6"/>
        </w:numPr>
        <w:tabs>
          <w:tab w:val="left" w:pos="661"/>
        </w:tabs>
        <w:kinsoku w:val="0"/>
        <w:overflowPunct w:val="0"/>
        <w:ind w:left="0" w:firstLine="0"/>
        <w:jc w:val="both"/>
        <w:rPr>
          <w:sz w:val="22"/>
          <w:szCs w:val="22"/>
        </w:rPr>
      </w:pPr>
      <w:r w:rsidRPr="002C1CB8">
        <w:rPr>
          <w:sz w:val="22"/>
          <w:szCs w:val="22"/>
        </w:rPr>
        <w:t xml:space="preserve">il trattamento del carcinoma polmonare non a piccole cellule (NSCLC) localmente avanzato o </w:t>
      </w:r>
      <w:r w:rsidRPr="002C1CB8">
        <w:rPr>
          <w:sz w:val="22"/>
          <w:szCs w:val="22"/>
        </w:rPr>
        <w:lastRenderedPageBreak/>
        <w:t>metastatico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i</w:t>
      </w:r>
      <w:r w:rsidRPr="002C1CB8">
        <w:rPr>
          <w:spacing w:val="37"/>
          <w:sz w:val="22"/>
          <w:szCs w:val="22"/>
        </w:rPr>
        <w:t xml:space="preserve"> </w:t>
      </w:r>
      <w:r w:rsidRPr="002C1CB8">
        <w:rPr>
          <w:sz w:val="22"/>
          <w:szCs w:val="22"/>
        </w:rPr>
        <w:t>cui</w:t>
      </w:r>
      <w:r w:rsidRPr="002C1CB8">
        <w:rPr>
          <w:spacing w:val="37"/>
          <w:sz w:val="22"/>
          <w:szCs w:val="22"/>
        </w:rPr>
        <w:t xml:space="preserve"> </w:t>
      </w:r>
      <w:r w:rsidRPr="002C1CB8">
        <w:rPr>
          <w:sz w:val="22"/>
          <w:szCs w:val="22"/>
        </w:rPr>
        <w:t>tumori</w:t>
      </w:r>
      <w:r w:rsidRPr="002C1CB8">
        <w:rPr>
          <w:spacing w:val="37"/>
          <w:sz w:val="22"/>
          <w:szCs w:val="22"/>
        </w:rPr>
        <w:t xml:space="preserve"> </w:t>
      </w:r>
      <w:r w:rsidRPr="002C1CB8">
        <w:rPr>
          <w:sz w:val="22"/>
          <w:szCs w:val="22"/>
        </w:rPr>
        <w:t>esprimono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PD-L1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(TPS</w:t>
      </w:r>
      <w:r w:rsidRPr="002C1CB8">
        <w:rPr>
          <w:spacing w:val="38"/>
          <w:sz w:val="22"/>
          <w:szCs w:val="22"/>
        </w:rPr>
        <w:t xml:space="preserve"> </w:t>
      </w:r>
      <w:r w:rsidRPr="002C1CB8">
        <w:rPr>
          <w:sz w:val="22"/>
          <w:szCs w:val="22"/>
        </w:rPr>
        <w:t>≥</w:t>
      </w:r>
      <w:r w:rsidRPr="002C1CB8">
        <w:rPr>
          <w:spacing w:val="38"/>
          <w:sz w:val="22"/>
          <w:szCs w:val="22"/>
        </w:rPr>
        <w:t xml:space="preserve"> </w:t>
      </w:r>
      <w:r w:rsidRPr="002C1CB8">
        <w:rPr>
          <w:sz w:val="22"/>
          <w:szCs w:val="22"/>
        </w:rPr>
        <w:t>1</w:t>
      </w:r>
      <w:r w:rsidRPr="002C1CB8">
        <w:rPr>
          <w:spacing w:val="36"/>
          <w:sz w:val="22"/>
          <w:szCs w:val="22"/>
        </w:rPr>
        <w:t xml:space="preserve"> </w:t>
      </w:r>
      <w:r w:rsidRPr="002C1CB8">
        <w:rPr>
          <w:sz w:val="22"/>
          <w:szCs w:val="22"/>
        </w:rPr>
        <w:t>%)</w:t>
      </w:r>
      <w:r w:rsidRPr="002C1CB8">
        <w:rPr>
          <w:spacing w:val="40"/>
          <w:sz w:val="22"/>
          <w:szCs w:val="22"/>
        </w:rPr>
        <w:t xml:space="preserve"> </w:t>
      </w:r>
      <w:r w:rsidRPr="002C1CB8">
        <w:rPr>
          <w:sz w:val="22"/>
          <w:szCs w:val="22"/>
        </w:rPr>
        <w:t>in</w:t>
      </w:r>
      <w:r w:rsidRPr="002C1CB8">
        <w:rPr>
          <w:spacing w:val="37"/>
          <w:sz w:val="22"/>
          <w:szCs w:val="22"/>
        </w:rPr>
        <w:t xml:space="preserve"> </w:t>
      </w:r>
      <w:r w:rsidRPr="002C1CB8">
        <w:rPr>
          <w:sz w:val="22"/>
          <w:szCs w:val="22"/>
        </w:rPr>
        <w:t>pazienti</w:t>
      </w:r>
      <w:r w:rsidRPr="002C1CB8">
        <w:rPr>
          <w:spacing w:val="38"/>
          <w:sz w:val="22"/>
          <w:szCs w:val="22"/>
        </w:rPr>
        <w:t xml:space="preserve"> </w:t>
      </w:r>
      <w:r w:rsidRPr="002C1CB8">
        <w:rPr>
          <w:sz w:val="22"/>
          <w:szCs w:val="22"/>
        </w:rPr>
        <w:t>che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abbiano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ricevuto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almeno</w:t>
      </w:r>
      <w:r w:rsidRPr="002C1CB8">
        <w:rPr>
          <w:spacing w:val="39"/>
          <w:sz w:val="22"/>
          <w:szCs w:val="22"/>
        </w:rPr>
        <w:t xml:space="preserve"> </w:t>
      </w:r>
      <w:r w:rsidRPr="002C1CB8">
        <w:rPr>
          <w:sz w:val="22"/>
          <w:szCs w:val="22"/>
        </w:rPr>
        <w:t>un</w:t>
      </w:r>
      <w:r w:rsidR="00222B83" w:rsidRPr="002C1CB8">
        <w:rPr>
          <w:sz w:val="22"/>
          <w:szCs w:val="22"/>
        </w:rPr>
        <w:t xml:space="preserve"> </w:t>
      </w:r>
      <w:r w:rsidRPr="002C1CB8">
        <w:rPr>
          <w:sz w:val="22"/>
          <w:szCs w:val="22"/>
        </w:rPr>
        <w:t>precedente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trattamento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chemioterapico.</w:t>
      </w:r>
      <w:r w:rsidRPr="002C1CB8">
        <w:rPr>
          <w:spacing w:val="-9"/>
          <w:sz w:val="22"/>
          <w:szCs w:val="22"/>
        </w:rPr>
        <w:t xml:space="preserve"> </w:t>
      </w:r>
      <w:r w:rsidRPr="002C1CB8">
        <w:rPr>
          <w:sz w:val="22"/>
          <w:szCs w:val="22"/>
        </w:rPr>
        <w:t>I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pazienti</w:t>
      </w:r>
      <w:r w:rsidRPr="002C1CB8">
        <w:rPr>
          <w:spacing w:val="-9"/>
          <w:sz w:val="22"/>
          <w:szCs w:val="22"/>
        </w:rPr>
        <w:t xml:space="preserve"> </w:t>
      </w:r>
      <w:r w:rsidRPr="002C1CB8">
        <w:rPr>
          <w:sz w:val="22"/>
          <w:szCs w:val="22"/>
        </w:rPr>
        <w:t>con</w:t>
      </w:r>
      <w:r w:rsidRPr="002C1CB8">
        <w:rPr>
          <w:spacing w:val="-10"/>
          <w:sz w:val="22"/>
          <w:szCs w:val="22"/>
        </w:rPr>
        <w:t xml:space="preserve"> </w:t>
      </w:r>
      <w:r w:rsidRPr="002C1CB8">
        <w:rPr>
          <w:sz w:val="22"/>
          <w:szCs w:val="22"/>
        </w:rPr>
        <w:t>tumore</w:t>
      </w:r>
      <w:r w:rsidRPr="002C1CB8">
        <w:rPr>
          <w:spacing w:val="-9"/>
          <w:sz w:val="22"/>
          <w:szCs w:val="22"/>
        </w:rPr>
        <w:t xml:space="preserve"> </w:t>
      </w:r>
      <w:r w:rsidRPr="002C1CB8">
        <w:rPr>
          <w:sz w:val="22"/>
          <w:szCs w:val="22"/>
        </w:rPr>
        <w:t>positivo</w:t>
      </w:r>
      <w:r w:rsidRPr="002C1CB8">
        <w:rPr>
          <w:spacing w:val="-9"/>
          <w:sz w:val="22"/>
          <w:szCs w:val="22"/>
        </w:rPr>
        <w:t xml:space="preserve"> </w:t>
      </w:r>
      <w:r w:rsidRPr="002C1CB8">
        <w:rPr>
          <w:sz w:val="22"/>
          <w:szCs w:val="22"/>
        </w:rPr>
        <w:t>per</w:t>
      </w:r>
      <w:r w:rsidRPr="002C1CB8">
        <w:rPr>
          <w:spacing w:val="-11"/>
          <w:sz w:val="22"/>
          <w:szCs w:val="22"/>
        </w:rPr>
        <w:t xml:space="preserve"> </w:t>
      </w:r>
      <w:r w:rsidRPr="002C1CB8">
        <w:rPr>
          <w:sz w:val="22"/>
          <w:szCs w:val="22"/>
        </w:rPr>
        <w:t>mutazione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di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EGFR</w:t>
      </w:r>
      <w:r w:rsidRPr="002C1CB8">
        <w:rPr>
          <w:spacing w:val="-12"/>
          <w:sz w:val="22"/>
          <w:szCs w:val="22"/>
        </w:rPr>
        <w:t xml:space="preserve"> </w:t>
      </w:r>
      <w:r w:rsidRPr="002C1CB8">
        <w:rPr>
          <w:sz w:val="22"/>
          <w:szCs w:val="22"/>
        </w:rPr>
        <w:t>o</w:t>
      </w:r>
      <w:r w:rsidRPr="002C1CB8">
        <w:rPr>
          <w:spacing w:val="-10"/>
          <w:sz w:val="22"/>
          <w:szCs w:val="22"/>
        </w:rPr>
        <w:t xml:space="preserve"> </w:t>
      </w:r>
      <w:r w:rsidRPr="002C1CB8">
        <w:rPr>
          <w:sz w:val="22"/>
          <w:szCs w:val="22"/>
        </w:rPr>
        <w:t>per</w:t>
      </w:r>
      <w:r w:rsidRPr="002C1CB8">
        <w:rPr>
          <w:spacing w:val="-8"/>
          <w:sz w:val="22"/>
          <w:szCs w:val="22"/>
        </w:rPr>
        <w:t xml:space="preserve"> </w:t>
      </w:r>
      <w:r w:rsidRPr="002C1CB8">
        <w:rPr>
          <w:sz w:val="22"/>
          <w:szCs w:val="22"/>
        </w:rPr>
        <w:t>ALK devono anche avere ricevuto una terapia mirata prima di ricevere</w:t>
      </w:r>
      <w:r w:rsidRPr="002C1CB8">
        <w:rPr>
          <w:spacing w:val="-14"/>
          <w:sz w:val="22"/>
          <w:szCs w:val="22"/>
        </w:rPr>
        <w:t xml:space="preserve"> </w:t>
      </w:r>
      <w:proofErr w:type="spellStart"/>
      <w:r w:rsidRPr="002C1CB8">
        <w:rPr>
          <w:sz w:val="22"/>
          <w:szCs w:val="22"/>
        </w:rPr>
        <w:t>pembrolizumab</w:t>
      </w:r>
      <w:proofErr w:type="spellEnd"/>
      <w:r w:rsidRPr="002C1CB8">
        <w:rPr>
          <w:sz w:val="22"/>
          <w:szCs w:val="22"/>
        </w:rPr>
        <w:t>.</w:t>
      </w:r>
    </w:p>
    <w:p w:rsidR="008709E7" w:rsidRPr="002C1CB8" w:rsidRDefault="008709E7" w:rsidP="0047115E">
      <w:pPr>
        <w:pStyle w:val="Paragrafoelenco"/>
        <w:numPr>
          <w:ilvl w:val="0"/>
          <w:numId w:val="6"/>
        </w:numPr>
        <w:tabs>
          <w:tab w:val="left" w:pos="661"/>
        </w:tabs>
        <w:kinsoku w:val="0"/>
        <w:overflowPunct w:val="0"/>
        <w:jc w:val="both"/>
        <w:rPr>
          <w:sz w:val="22"/>
          <w:szCs w:val="22"/>
        </w:rPr>
      </w:pPr>
      <w:r w:rsidRPr="002C1CB8">
        <w:rPr>
          <w:b/>
          <w:bCs/>
          <w:sz w:val="22"/>
          <w:szCs w:val="22"/>
        </w:rPr>
        <w:t xml:space="preserve">Dicembre 2019: </w:t>
      </w:r>
      <w:r w:rsidRPr="002C1CB8">
        <w:rPr>
          <w:sz w:val="22"/>
          <w:szCs w:val="22"/>
        </w:rPr>
        <w:t xml:space="preserve">AIFA approva </w:t>
      </w:r>
      <w:proofErr w:type="spellStart"/>
      <w:r w:rsidRPr="002C1CB8">
        <w:rPr>
          <w:sz w:val="22"/>
          <w:szCs w:val="22"/>
        </w:rPr>
        <w:t>pembrolizumab</w:t>
      </w:r>
      <w:proofErr w:type="spellEnd"/>
      <w:r w:rsidRPr="002C1CB8">
        <w:rPr>
          <w:sz w:val="22"/>
          <w:szCs w:val="22"/>
        </w:rPr>
        <w:t xml:space="preserve">, in associazione a chemioterapia a base di platino e </w:t>
      </w:r>
      <w:proofErr w:type="spellStart"/>
      <w:r w:rsidRPr="002C1CB8">
        <w:rPr>
          <w:sz w:val="22"/>
          <w:szCs w:val="22"/>
        </w:rPr>
        <w:t>pemetrexed</w:t>
      </w:r>
      <w:proofErr w:type="spellEnd"/>
      <w:r w:rsidRPr="002C1CB8">
        <w:rPr>
          <w:sz w:val="22"/>
          <w:szCs w:val="22"/>
        </w:rPr>
        <w:t xml:space="preserve"> nel trattamento di pri</w:t>
      </w:r>
      <w:bookmarkStart w:id="2" w:name="_GoBack"/>
      <w:bookmarkEnd w:id="2"/>
      <w:r w:rsidRPr="002C1CB8">
        <w:rPr>
          <w:sz w:val="22"/>
          <w:szCs w:val="22"/>
        </w:rPr>
        <w:t>ma linea del carcinoma polmonare non a piccole cellule</w:t>
      </w:r>
      <w:r w:rsidR="00BF2732" w:rsidRPr="002C1CB8">
        <w:rPr>
          <w:sz w:val="22"/>
          <w:szCs w:val="22"/>
        </w:rPr>
        <w:t xml:space="preserve"> </w:t>
      </w:r>
      <w:r w:rsidRPr="002C1CB8">
        <w:rPr>
          <w:sz w:val="22"/>
          <w:szCs w:val="22"/>
        </w:rPr>
        <w:t>(NSCLC) metastatico non squamoso negli adulti, il cui tumore non è positivo per mutazioni di EGFR o per ALK</w:t>
      </w:r>
    </w:p>
    <w:p w:rsidR="00BF2732" w:rsidRPr="002C1CB8" w:rsidRDefault="00BF2732" w:rsidP="00222B83">
      <w:pPr>
        <w:pStyle w:val="Corpotesto"/>
        <w:tabs>
          <w:tab w:val="left" w:pos="9752"/>
        </w:tabs>
        <w:kinsoku w:val="0"/>
        <w:overflowPunct w:val="0"/>
        <w:ind w:hanging="361"/>
        <w:jc w:val="both"/>
      </w:pPr>
    </w:p>
    <w:p w:rsidR="00222B83" w:rsidRPr="002C1CB8" w:rsidRDefault="008709E7" w:rsidP="00222B83">
      <w:pPr>
        <w:pStyle w:val="Titolo3"/>
        <w:kinsoku w:val="0"/>
        <w:overflowPunct w:val="0"/>
        <w:ind w:left="0"/>
        <w:jc w:val="both"/>
      </w:pPr>
      <w:r w:rsidRPr="002C1CB8">
        <w:t xml:space="preserve">Tumore </w:t>
      </w:r>
      <w:proofErr w:type="spellStart"/>
      <w:r w:rsidRPr="002C1CB8">
        <w:t>uroteliale</w:t>
      </w:r>
      <w:proofErr w:type="spellEnd"/>
    </w:p>
    <w:p w:rsidR="008709E7" w:rsidRPr="002C1CB8" w:rsidRDefault="008709E7" w:rsidP="00222B83">
      <w:pPr>
        <w:pStyle w:val="Titolo3"/>
        <w:numPr>
          <w:ilvl w:val="0"/>
          <w:numId w:val="13"/>
        </w:numPr>
        <w:kinsoku w:val="0"/>
        <w:overflowPunct w:val="0"/>
        <w:jc w:val="both"/>
        <w:rPr>
          <w:b w:val="0"/>
          <w:bCs w:val="0"/>
        </w:rPr>
      </w:pPr>
      <w:r w:rsidRPr="002C1CB8">
        <w:t>Dicembre 2019</w:t>
      </w:r>
      <w:r w:rsidRPr="002C1CB8">
        <w:rPr>
          <w:b w:val="0"/>
          <w:bCs w:val="0"/>
        </w:rPr>
        <w:t xml:space="preserve">: AIFA approva </w:t>
      </w:r>
      <w:proofErr w:type="spellStart"/>
      <w:r w:rsidRPr="002C1CB8">
        <w:rPr>
          <w:b w:val="0"/>
          <w:bCs w:val="0"/>
        </w:rPr>
        <w:t>pembrolizumab</w:t>
      </w:r>
      <w:proofErr w:type="spellEnd"/>
      <w:r w:rsidRPr="002C1CB8">
        <w:rPr>
          <w:b w:val="0"/>
          <w:bCs w:val="0"/>
        </w:rPr>
        <w:t xml:space="preserve"> in monoterapia per il trattamento del carcinoma </w:t>
      </w:r>
      <w:proofErr w:type="spellStart"/>
      <w:r w:rsidRPr="002C1CB8">
        <w:rPr>
          <w:b w:val="0"/>
          <w:bCs w:val="0"/>
        </w:rPr>
        <w:t>uroteliale</w:t>
      </w:r>
      <w:proofErr w:type="spellEnd"/>
      <w:r w:rsidRPr="002C1CB8">
        <w:rPr>
          <w:b w:val="0"/>
          <w:bCs w:val="0"/>
        </w:rPr>
        <w:t xml:space="preserve"> localmente avanzato o metastatico di pazienti adulti che hanno fallito una precedente chemioterapia contenente platino</w:t>
      </w:r>
    </w:p>
    <w:p w:rsidR="00BF2732" w:rsidRPr="002C1CB8" w:rsidRDefault="00BF2732" w:rsidP="00222B83">
      <w:pPr>
        <w:pStyle w:val="Paragrafoelenco"/>
        <w:tabs>
          <w:tab w:val="left" w:pos="474"/>
        </w:tabs>
        <w:kinsoku w:val="0"/>
        <w:overflowPunct w:val="0"/>
        <w:ind w:left="0" w:firstLine="0"/>
        <w:jc w:val="both"/>
        <w:rPr>
          <w:sz w:val="22"/>
          <w:szCs w:val="22"/>
        </w:rPr>
      </w:pPr>
    </w:p>
    <w:p w:rsidR="00222B83" w:rsidRPr="002C1CB8" w:rsidRDefault="008709E7" w:rsidP="00222B83">
      <w:pPr>
        <w:pStyle w:val="Titolo3"/>
        <w:kinsoku w:val="0"/>
        <w:overflowPunct w:val="0"/>
        <w:spacing w:line="267" w:lineRule="exact"/>
        <w:ind w:left="0"/>
        <w:jc w:val="both"/>
      </w:pPr>
      <w:r w:rsidRPr="002C1CB8">
        <w:t>Linfoma di Hodgkin</w:t>
      </w:r>
    </w:p>
    <w:p w:rsidR="008709E7" w:rsidRPr="002C1CB8" w:rsidRDefault="008709E7" w:rsidP="00222B83">
      <w:pPr>
        <w:pStyle w:val="Titolo3"/>
        <w:numPr>
          <w:ilvl w:val="0"/>
          <w:numId w:val="13"/>
        </w:numPr>
        <w:kinsoku w:val="0"/>
        <w:overflowPunct w:val="0"/>
        <w:spacing w:line="267" w:lineRule="exact"/>
        <w:jc w:val="both"/>
        <w:rPr>
          <w:b w:val="0"/>
          <w:bCs w:val="0"/>
        </w:rPr>
      </w:pPr>
      <w:r w:rsidRPr="002C1CB8">
        <w:t>Dicembre</w:t>
      </w:r>
      <w:r w:rsidRPr="002C1CB8">
        <w:rPr>
          <w:spacing w:val="-14"/>
        </w:rPr>
        <w:t xml:space="preserve"> </w:t>
      </w:r>
      <w:r w:rsidRPr="002C1CB8">
        <w:t>2019</w:t>
      </w:r>
      <w:r w:rsidRPr="002C1CB8">
        <w:rPr>
          <w:b w:val="0"/>
          <w:bCs w:val="0"/>
        </w:rPr>
        <w:t>:</w:t>
      </w:r>
      <w:r w:rsidRPr="002C1CB8">
        <w:rPr>
          <w:b w:val="0"/>
          <w:bCs w:val="0"/>
          <w:spacing w:val="-12"/>
        </w:rPr>
        <w:t xml:space="preserve"> </w:t>
      </w:r>
      <w:r w:rsidRPr="002C1CB8">
        <w:rPr>
          <w:b w:val="0"/>
          <w:bCs w:val="0"/>
        </w:rPr>
        <w:t xml:space="preserve">AIFA approva </w:t>
      </w:r>
      <w:proofErr w:type="spellStart"/>
      <w:r w:rsidRPr="002C1CB8">
        <w:rPr>
          <w:b w:val="0"/>
          <w:bCs w:val="0"/>
        </w:rPr>
        <w:t>pembrolizumab</w:t>
      </w:r>
      <w:proofErr w:type="spellEnd"/>
      <w:r w:rsidRPr="002C1CB8">
        <w:rPr>
          <w:b w:val="0"/>
          <w:bCs w:val="0"/>
        </w:rPr>
        <w:t xml:space="preserve"> per il trattamento di pazienti adulti con linfoma di Hodgkin classico (</w:t>
      </w:r>
      <w:proofErr w:type="spellStart"/>
      <w:r w:rsidRPr="002C1CB8">
        <w:rPr>
          <w:b w:val="0"/>
          <w:bCs w:val="0"/>
        </w:rPr>
        <w:t>cHL</w:t>
      </w:r>
      <w:proofErr w:type="spellEnd"/>
      <w:r w:rsidRPr="002C1CB8">
        <w:rPr>
          <w:b w:val="0"/>
          <w:bCs w:val="0"/>
        </w:rPr>
        <w:t xml:space="preserve">) refrattario o recidivato dopo trapianto autologo di cellule staminali (ASCT) e </w:t>
      </w:r>
      <w:proofErr w:type="spellStart"/>
      <w:r w:rsidRPr="002C1CB8">
        <w:rPr>
          <w:b w:val="0"/>
          <w:bCs w:val="0"/>
        </w:rPr>
        <w:t>brentuximab</w:t>
      </w:r>
      <w:proofErr w:type="spellEnd"/>
      <w:r w:rsidRPr="002C1CB8">
        <w:rPr>
          <w:b w:val="0"/>
          <w:bCs w:val="0"/>
        </w:rPr>
        <w:t xml:space="preserve"> </w:t>
      </w:r>
      <w:proofErr w:type="spellStart"/>
      <w:r w:rsidRPr="002C1CB8">
        <w:rPr>
          <w:b w:val="0"/>
          <w:bCs w:val="0"/>
        </w:rPr>
        <w:t>vedotin</w:t>
      </w:r>
      <w:proofErr w:type="spellEnd"/>
      <w:r w:rsidRPr="002C1CB8">
        <w:rPr>
          <w:b w:val="0"/>
          <w:bCs w:val="0"/>
        </w:rPr>
        <w:t xml:space="preserve"> (BV) o ineleggibili al trapianto o che abbiano fallito la terapia con BV</w:t>
      </w:r>
    </w:p>
    <w:sectPr w:rsidR="008709E7" w:rsidRPr="002C1CB8" w:rsidSect="00222B83">
      <w:pgSz w:w="11910" w:h="16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AB0" w:rsidRDefault="00C93AB0" w:rsidP="007045BF">
      <w:r>
        <w:separator/>
      </w:r>
    </w:p>
  </w:endnote>
  <w:endnote w:type="continuationSeparator" w:id="0">
    <w:p w:rsidR="00C93AB0" w:rsidRDefault="00C93AB0" w:rsidP="0070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AB0" w:rsidRDefault="00C93AB0" w:rsidP="007045BF">
      <w:r>
        <w:separator/>
      </w:r>
    </w:p>
  </w:footnote>
  <w:footnote w:type="continuationSeparator" w:id="0">
    <w:p w:rsidR="00C93AB0" w:rsidRDefault="00C93AB0" w:rsidP="0070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402" w:hanging="284"/>
      </w:pPr>
      <w:rPr>
        <w:rFonts w:ascii="Calibri" w:hAnsi="Calibri"/>
        <w:b w:val="0"/>
        <w:w w:val="100"/>
        <w:sz w:val="22"/>
      </w:rPr>
    </w:lvl>
    <w:lvl w:ilvl="1">
      <w:numFmt w:val="bullet"/>
      <w:lvlText w:val="-"/>
      <w:lvlJc w:val="left"/>
      <w:pPr>
        <w:ind w:left="685" w:hanging="284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1163" w:hanging="284"/>
      </w:pPr>
    </w:lvl>
    <w:lvl w:ilvl="3">
      <w:numFmt w:val="bullet"/>
      <w:lvlText w:val="•"/>
      <w:lvlJc w:val="left"/>
      <w:pPr>
        <w:ind w:left="1646" w:hanging="284"/>
      </w:pPr>
    </w:lvl>
    <w:lvl w:ilvl="4">
      <w:numFmt w:val="bullet"/>
      <w:lvlText w:val="•"/>
      <w:lvlJc w:val="left"/>
      <w:pPr>
        <w:ind w:left="2129" w:hanging="284"/>
      </w:pPr>
    </w:lvl>
    <w:lvl w:ilvl="5">
      <w:numFmt w:val="bullet"/>
      <w:lvlText w:val="•"/>
      <w:lvlJc w:val="left"/>
      <w:pPr>
        <w:ind w:left="2612" w:hanging="284"/>
      </w:pPr>
    </w:lvl>
    <w:lvl w:ilvl="6">
      <w:numFmt w:val="bullet"/>
      <w:lvlText w:val="•"/>
      <w:lvlJc w:val="left"/>
      <w:pPr>
        <w:ind w:left="3095" w:hanging="284"/>
      </w:pPr>
    </w:lvl>
    <w:lvl w:ilvl="7">
      <w:numFmt w:val="bullet"/>
      <w:lvlText w:val="•"/>
      <w:lvlJc w:val="left"/>
      <w:pPr>
        <w:ind w:left="3578" w:hanging="284"/>
      </w:pPr>
    </w:lvl>
    <w:lvl w:ilvl="8">
      <w:numFmt w:val="bullet"/>
      <w:lvlText w:val="•"/>
      <w:lvlJc w:val="left"/>
      <w:pPr>
        <w:ind w:left="4061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62" w:hanging="360"/>
      </w:pPr>
      <w:rPr>
        <w:rFonts w:ascii="Arial" w:hAnsi="Arial"/>
        <w:b w:val="0"/>
        <w:w w:val="100"/>
        <w:sz w:val="22"/>
      </w:rPr>
    </w:lvl>
    <w:lvl w:ilvl="1">
      <w:numFmt w:val="bullet"/>
      <w:lvlText w:val="•"/>
      <w:lvlJc w:val="left"/>
      <w:pPr>
        <w:ind w:left="1628" w:hanging="360"/>
      </w:pPr>
    </w:lvl>
    <w:lvl w:ilvl="2">
      <w:numFmt w:val="bullet"/>
      <w:lvlText w:val="•"/>
      <w:lvlJc w:val="left"/>
      <w:pPr>
        <w:ind w:left="2497" w:hanging="360"/>
      </w:pPr>
    </w:lvl>
    <w:lvl w:ilvl="3">
      <w:numFmt w:val="bullet"/>
      <w:lvlText w:val="•"/>
      <w:lvlJc w:val="left"/>
      <w:pPr>
        <w:ind w:left="336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03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840" w:hanging="360"/>
      </w:pPr>
    </w:lvl>
    <w:lvl w:ilvl="8">
      <w:numFmt w:val="bullet"/>
      <w:lvlText w:val="•"/>
      <w:lvlJc w:val="left"/>
      <w:pPr>
        <w:ind w:left="770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06" w:hanging="360"/>
      </w:pPr>
      <w:rPr>
        <w:b w:val="0"/>
        <w:w w:val="99"/>
      </w:rPr>
    </w:lvl>
    <w:lvl w:ilvl="1">
      <w:numFmt w:val="bullet"/>
      <w:lvlText w:val="•"/>
      <w:lvlJc w:val="left"/>
      <w:pPr>
        <w:ind w:left="867" w:hanging="360"/>
      </w:pPr>
    </w:lvl>
    <w:lvl w:ilvl="2">
      <w:numFmt w:val="bullet"/>
      <w:lvlText w:val="•"/>
      <w:lvlJc w:val="left"/>
      <w:pPr>
        <w:ind w:left="1235" w:hanging="360"/>
      </w:pPr>
    </w:lvl>
    <w:lvl w:ilvl="3">
      <w:numFmt w:val="bullet"/>
      <w:lvlText w:val="•"/>
      <w:lvlJc w:val="left"/>
      <w:pPr>
        <w:ind w:left="1603" w:hanging="360"/>
      </w:pPr>
    </w:lvl>
    <w:lvl w:ilvl="4">
      <w:numFmt w:val="bullet"/>
      <w:lvlText w:val="•"/>
      <w:lvlJc w:val="left"/>
      <w:pPr>
        <w:ind w:left="1971" w:hanging="360"/>
      </w:pPr>
    </w:lvl>
    <w:lvl w:ilvl="5">
      <w:numFmt w:val="bullet"/>
      <w:lvlText w:val="•"/>
      <w:lvlJc w:val="left"/>
      <w:pPr>
        <w:ind w:left="2339" w:hanging="360"/>
      </w:pPr>
    </w:lvl>
    <w:lvl w:ilvl="6">
      <w:numFmt w:val="bullet"/>
      <w:lvlText w:val="•"/>
      <w:lvlJc w:val="left"/>
      <w:pPr>
        <w:ind w:left="2707" w:hanging="360"/>
      </w:pPr>
    </w:lvl>
    <w:lvl w:ilvl="7">
      <w:numFmt w:val="bullet"/>
      <w:lvlText w:val="•"/>
      <w:lvlJc w:val="left"/>
      <w:pPr>
        <w:ind w:left="3075" w:hanging="360"/>
      </w:pPr>
    </w:lvl>
    <w:lvl w:ilvl="8">
      <w:numFmt w:val="bullet"/>
      <w:lvlText w:val="•"/>
      <w:lvlJc w:val="left"/>
      <w:pPr>
        <w:ind w:left="3443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304" w:hanging="284"/>
      </w:pPr>
    </w:lvl>
    <w:lvl w:ilvl="2">
      <w:numFmt w:val="bullet"/>
      <w:lvlText w:val="•"/>
      <w:lvlJc w:val="left"/>
      <w:pPr>
        <w:ind w:left="2209" w:hanging="284"/>
      </w:pPr>
    </w:lvl>
    <w:lvl w:ilvl="3">
      <w:numFmt w:val="bullet"/>
      <w:lvlText w:val="•"/>
      <w:lvlJc w:val="left"/>
      <w:pPr>
        <w:ind w:left="3113" w:hanging="284"/>
      </w:pPr>
    </w:lvl>
    <w:lvl w:ilvl="4">
      <w:numFmt w:val="bullet"/>
      <w:lvlText w:val="•"/>
      <w:lvlJc w:val="left"/>
      <w:pPr>
        <w:ind w:left="4018" w:hanging="284"/>
      </w:pPr>
    </w:lvl>
    <w:lvl w:ilvl="5">
      <w:numFmt w:val="bullet"/>
      <w:lvlText w:val="•"/>
      <w:lvlJc w:val="left"/>
      <w:pPr>
        <w:ind w:left="4923" w:hanging="284"/>
      </w:pPr>
    </w:lvl>
    <w:lvl w:ilvl="6">
      <w:numFmt w:val="bullet"/>
      <w:lvlText w:val="•"/>
      <w:lvlJc w:val="left"/>
      <w:pPr>
        <w:ind w:left="5827" w:hanging="284"/>
      </w:pPr>
    </w:lvl>
    <w:lvl w:ilvl="7">
      <w:numFmt w:val="bullet"/>
      <w:lvlText w:val="•"/>
      <w:lvlJc w:val="left"/>
      <w:pPr>
        <w:ind w:left="6732" w:hanging="284"/>
      </w:pPr>
    </w:lvl>
    <w:lvl w:ilvl="8">
      <w:numFmt w:val="bullet"/>
      <w:lvlText w:val="•"/>
      <w:lvlJc w:val="left"/>
      <w:pPr>
        <w:ind w:left="7637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13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3120" w:hanging="284"/>
      </w:pPr>
    </w:lvl>
    <w:lvl w:ilvl="2">
      <w:numFmt w:val="bullet"/>
      <w:lvlText w:val="•"/>
      <w:lvlJc w:val="left"/>
      <w:pPr>
        <w:ind w:left="3806" w:hanging="284"/>
      </w:pPr>
    </w:lvl>
    <w:lvl w:ilvl="3">
      <w:numFmt w:val="bullet"/>
      <w:lvlText w:val="•"/>
      <w:lvlJc w:val="left"/>
      <w:pPr>
        <w:ind w:left="4493" w:hanging="284"/>
      </w:pPr>
    </w:lvl>
    <w:lvl w:ilvl="4">
      <w:numFmt w:val="bullet"/>
      <w:lvlText w:val="•"/>
      <w:lvlJc w:val="left"/>
      <w:pPr>
        <w:ind w:left="5179" w:hanging="284"/>
      </w:pPr>
    </w:lvl>
    <w:lvl w:ilvl="5">
      <w:numFmt w:val="bullet"/>
      <w:lvlText w:val="•"/>
      <w:lvlJc w:val="left"/>
      <w:pPr>
        <w:ind w:left="5866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239" w:hanging="284"/>
      </w:pPr>
    </w:lvl>
    <w:lvl w:ilvl="8">
      <w:numFmt w:val="bullet"/>
      <w:lvlText w:val="•"/>
      <w:lvlJc w:val="left"/>
      <w:pPr>
        <w:ind w:left="7926" w:hanging="2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473" w:hanging="361"/>
      </w:pPr>
      <w:rPr>
        <w:rFonts w:ascii="Symbol" w:hAnsi="Symbol"/>
        <w:b w:val="0"/>
        <w:w w:val="100"/>
        <w:sz w:val="22"/>
      </w:rPr>
    </w:lvl>
    <w:lvl w:ilvl="1">
      <w:numFmt w:val="bullet"/>
      <w:lvlText w:val="-"/>
      <w:lvlJc w:val="left"/>
      <w:pPr>
        <w:ind w:left="473" w:hanging="202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2365" w:hanging="202"/>
      </w:pPr>
    </w:lvl>
    <w:lvl w:ilvl="3">
      <w:numFmt w:val="bullet"/>
      <w:lvlText w:val="•"/>
      <w:lvlJc w:val="left"/>
      <w:pPr>
        <w:ind w:left="3307" w:hanging="202"/>
      </w:pPr>
    </w:lvl>
    <w:lvl w:ilvl="4">
      <w:numFmt w:val="bullet"/>
      <w:lvlText w:val="•"/>
      <w:lvlJc w:val="left"/>
      <w:pPr>
        <w:ind w:left="4250" w:hanging="202"/>
      </w:pPr>
    </w:lvl>
    <w:lvl w:ilvl="5">
      <w:numFmt w:val="bullet"/>
      <w:lvlText w:val="•"/>
      <w:lvlJc w:val="left"/>
      <w:pPr>
        <w:ind w:left="5193" w:hanging="202"/>
      </w:pPr>
    </w:lvl>
    <w:lvl w:ilvl="6">
      <w:numFmt w:val="bullet"/>
      <w:lvlText w:val="•"/>
      <w:lvlJc w:val="left"/>
      <w:pPr>
        <w:ind w:left="6135" w:hanging="202"/>
      </w:pPr>
    </w:lvl>
    <w:lvl w:ilvl="7">
      <w:numFmt w:val="bullet"/>
      <w:lvlText w:val="•"/>
      <w:lvlJc w:val="left"/>
      <w:pPr>
        <w:ind w:left="7078" w:hanging="202"/>
      </w:pPr>
    </w:lvl>
    <w:lvl w:ilvl="8">
      <w:numFmt w:val="bullet"/>
      <w:lvlText w:val="•"/>
      <w:lvlJc w:val="left"/>
      <w:pPr>
        <w:ind w:left="8021" w:hanging="202"/>
      </w:pPr>
    </w:lvl>
  </w:abstractNum>
  <w:abstractNum w:abstractNumId="6" w15:restartNumberingAfterBreak="0">
    <w:nsid w:val="00000408"/>
    <w:multiLevelType w:val="multilevel"/>
    <w:tmpl w:val="0000088B"/>
    <w:lvl w:ilvl="0">
      <w:start w:val="13"/>
      <w:numFmt w:val="decimal"/>
      <w:lvlText w:val="%1"/>
      <w:lvlJc w:val="left"/>
      <w:pPr>
        <w:ind w:left="769" w:hanging="657"/>
      </w:pPr>
      <w:rPr>
        <w:rFonts w:cs="Times New Roman"/>
      </w:rPr>
    </w:lvl>
    <w:lvl w:ilvl="1">
      <w:numFmt w:val="decimalZero"/>
      <w:lvlText w:val="%1.%2"/>
      <w:lvlJc w:val="left"/>
      <w:pPr>
        <w:ind w:left="769" w:hanging="657"/>
      </w:pPr>
      <w:rPr>
        <w:rFonts w:ascii="Calibri" w:hAnsi="Calibri" w:cs="Calibri"/>
        <w:b w:val="0"/>
        <w:bCs w:val="0"/>
        <w:spacing w:val="-3"/>
        <w:w w:val="100"/>
        <w:sz w:val="22"/>
        <w:szCs w:val="22"/>
      </w:rPr>
    </w:lvl>
    <w:lvl w:ilvl="2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3">
      <w:numFmt w:val="bullet"/>
      <w:lvlText w:val="•"/>
      <w:lvlJc w:val="left"/>
      <w:pPr>
        <w:ind w:left="2854" w:hanging="360"/>
      </w:pPr>
    </w:lvl>
    <w:lvl w:ilvl="4">
      <w:numFmt w:val="bullet"/>
      <w:lvlText w:val="•"/>
      <w:lvlJc w:val="left"/>
      <w:pPr>
        <w:ind w:left="3862" w:hanging="360"/>
      </w:pPr>
    </w:lvl>
    <w:lvl w:ilvl="5">
      <w:numFmt w:val="bullet"/>
      <w:lvlText w:val="•"/>
      <w:lvlJc w:val="left"/>
      <w:pPr>
        <w:ind w:left="4869" w:hanging="360"/>
      </w:pPr>
    </w:lvl>
    <w:lvl w:ilvl="6">
      <w:numFmt w:val="bullet"/>
      <w:lvlText w:val="•"/>
      <w:lvlJc w:val="left"/>
      <w:pPr>
        <w:ind w:left="5876" w:hanging="360"/>
      </w:pPr>
    </w:lvl>
    <w:lvl w:ilvl="7">
      <w:numFmt w:val="bullet"/>
      <w:lvlText w:val="•"/>
      <w:lvlJc w:val="left"/>
      <w:pPr>
        <w:ind w:left="6884" w:hanging="360"/>
      </w:pPr>
    </w:lvl>
    <w:lvl w:ilvl="8">
      <w:numFmt w:val="bullet"/>
      <w:lvlText w:val="•"/>
      <w:lvlJc w:val="left"/>
      <w:pPr>
        <w:ind w:left="789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2" w:hanging="175"/>
      </w:pPr>
      <w:rPr>
        <w:rFonts w:ascii="Calibri" w:hAnsi="Calibri"/>
        <w:b/>
        <w:w w:val="100"/>
        <w:sz w:val="22"/>
      </w:rPr>
    </w:lvl>
    <w:lvl w:ilvl="1">
      <w:numFmt w:val="bullet"/>
      <w:lvlText w:val="•"/>
      <w:lvlJc w:val="left"/>
      <w:pPr>
        <w:ind w:left="1098" w:hanging="175"/>
      </w:pPr>
    </w:lvl>
    <w:lvl w:ilvl="2">
      <w:numFmt w:val="bullet"/>
      <w:lvlText w:val="•"/>
      <w:lvlJc w:val="left"/>
      <w:pPr>
        <w:ind w:left="2077" w:hanging="175"/>
      </w:pPr>
    </w:lvl>
    <w:lvl w:ilvl="3">
      <w:numFmt w:val="bullet"/>
      <w:lvlText w:val="•"/>
      <w:lvlJc w:val="left"/>
      <w:pPr>
        <w:ind w:left="3055" w:hanging="175"/>
      </w:pPr>
    </w:lvl>
    <w:lvl w:ilvl="4">
      <w:numFmt w:val="bullet"/>
      <w:lvlText w:val="•"/>
      <w:lvlJc w:val="left"/>
      <w:pPr>
        <w:ind w:left="4034" w:hanging="175"/>
      </w:pPr>
    </w:lvl>
    <w:lvl w:ilvl="5">
      <w:numFmt w:val="bullet"/>
      <w:lvlText w:val="•"/>
      <w:lvlJc w:val="left"/>
      <w:pPr>
        <w:ind w:left="5013" w:hanging="175"/>
      </w:pPr>
    </w:lvl>
    <w:lvl w:ilvl="6">
      <w:numFmt w:val="bullet"/>
      <w:lvlText w:val="•"/>
      <w:lvlJc w:val="left"/>
      <w:pPr>
        <w:ind w:left="5991" w:hanging="175"/>
      </w:pPr>
    </w:lvl>
    <w:lvl w:ilvl="7">
      <w:numFmt w:val="bullet"/>
      <w:lvlText w:val="•"/>
      <w:lvlJc w:val="left"/>
      <w:pPr>
        <w:ind w:left="6970" w:hanging="175"/>
      </w:pPr>
    </w:lvl>
    <w:lvl w:ilvl="8">
      <w:numFmt w:val="bullet"/>
      <w:lvlText w:val="•"/>
      <w:lvlJc w:val="left"/>
      <w:pPr>
        <w:ind w:left="7949" w:hanging="17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112" w:hanging="212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098" w:hanging="212"/>
      </w:pPr>
    </w:lvl>
    <w:lvl w:ilvl="2">
      <w:numFmt w:val="bullet"/>
      <w:lvlText w:val="•"/>
      <w:lvlJc w:val="left"/>
      <w:pPr>
        <w:ind w:left="2077" w:hanging="212"/>
      </w:pPr>
    </w:lvl>
    <w:lvl w:ilvl="3">
      <w:numFmt w:val="bullet"/>
      <w:lvlText w:val="•"/>
      <w:lvlJc w:val="left"/>
      <w:pPr>
        <w:ind w:left="3055" w:hanging="212"/>
      </w:pPr>
    </w:lvl>
    <w:lvl w:ilvl="4">
      <w:numFmt w:val="bullet"/>
      <w:lvlText w:val="•"/>
      <w:lvlJc w:val="left"/>
      <w:pPr>
        <w:ind w:left="4034" w:hanging="212"/>
      </w:pPr>
    </w:lvl>
    <w:lvl w:ilvl="5">
      <w:numFmt w:val="bullet"/>
      <w:lvlText w:val="•"/>
      <w:lvlJc w:val="left"/>
      <w:pPr>
        <w:ind w:left="5013" w:hanging="212"/>
      </w:pPr>
    </w:lvl>
    <w:lvl w:ilvl="6">
      <w:numFmt w:val="bullet"/>
      <w:lvlText w:val="•"/>
      <w:lvlJc w:val="left"/>
      <w:pPr>
        <w:ind w:left="5991" w:hanging="212"/>
      </w:pPr>
    </w:lvl>
    <w:lvl w:ilvl="7">
      <w:numFmt w:val="bullet"/>
      <w:lvlText w:val="•"/>
      <w:lvlJc w:val="left"/>
      <w:pPr>
        <w:ind w:left="6970" w:hanging="212"/>
      </w:pPr>
    </w:lvl>
    <w:lvl w:ilvl="8">
      <w:numFmt w:val="bullet"/>
      <w:lvlText w:val="•"/>
      <w:lvlJc w:val="left"/>
      <w:pPr>
        <w:ind w:left="7949" w:hanging="2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746" w:hanging="360"/>
      </w:pPr>
    </w:lvl>
    <w:lvl w:ilvl="2">
      <w:numFmt w:val="bullet"/>
      <w:lvlText w:val="•"/>
      <w:lvlJc w:val="left"/>
      <w:pPr>
        <w:ind w:left="2653" w:hanging="360"/>
      </w:pPr>
    </w:lvl>
    <w:lvl w:ilvl="3">
      <w:numFmt w:val="bullet"/>
      <w:lvlText w:val="•"/>
      <w:lvlJc w:val="left"/>
      <w:pPr>
        <w:ind w:left="3559" w:hanging="360"/>
      </w:pPr>
    </w:lvl>
    <w:lvl w:ilvl="4">
      <w:numFmt w:val="bullet"/>
      <w:lvlText w:val="•"/>
      <w:lvlJc w:val="left"/>
      <w:pPr>
        <w:ind w:left="4466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79" w:hanging="360"/>
      </w:pPr>
    </w:lvl>
    <w:lvl w:ilvl="7">
      <w:numFmt w:val="bullet"/>
      <w:lvlText w:val="•"/>
      <w:lvlJc w:val="left"/>
      <w:pPr>
        <w:ind w:left="7186" w:hanging="360"/>
      </w:pPr>
    </w:lvl>
    <w:lvl w:ilvl="8">
      <w:numFmt w:val="bullet"/>
      <w:lvlText w:val="•"/>
      <w:lvlJc w:val="left"/>
      <w:pPr>
        <w:ind w:left="8093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8" w:hanging="360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7" w:hanging="360"/>
      </w:pPr>
    </w:lvl>
    <w:lvl w:ilvl="4">
      <w:numFmt w:val="bullet"/>
      <w:lvlText w:val="•"/>
      <w:lvlJc w:val="left"/>
      <w:pPr>
        <w:ind w:left="4223" w:hanging="360"/>
      </w:pPr>
    </w:lvl>
    <w:lvl w:ilvl="5">
      <w:numFmt w:val="bullet"/>
      <w:lvlText w:val="•"/>
      <w:lvlJc w:val="left"/>
      <w:pPr>
        <w:ind w:left="5069" w:hanging="360"/>
      </w:pPr>
    </w:lvl>
    <w:lvl w:ilvl="6">
      <w:numFmt w:val="bullet"/>
      <w:lvlText w:val="•"/>
      <w:lvlJc w:val="left"/>
      <w:pPr>
        <w:ind w:left="5915" w:hanging="360"/>
      </w:pPr>
    </w:lvl>
    <w:lvl w:ilvl="7">
      <w:numFmt w:val="bullet"/>
      <w:lvlText w:val="•"/>
      <w:lvlJc w:val="left"/>
      <w:pPr>
        <w:ind w:left="6761" w:hanging="360"/>
      </w:pPr>
    </w:lvl>
    <w:lvl w:ilvl="8">
      <w:numFmt w:val="bullet"/>
      <w:lvlText w:val="•"/>
      <w:lvlJc w:val="left"/>
      <w:pPr>
        <w:ind w:left="7607" w:hanging="360"/>
      </w:pPr>
    </w:lvl>
  </w:abstractNum>
  <w:abstractNum w:abstractNumId="11" w15:restartNumberingAfterBreak="0">
    <w:nsid w:val="1FDE4ABD"/>
    <w:multiLevelType w:val="hybridMultilevel"/>
    <w:tmpl w:val="1A84B7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77685C"/>
    <w:multiLevelType w:val="hybridMultilevel"/>
    <w:tmpl w:val="D24C42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BF"/>
    <w:rsid w:val="000D706E"/>
    <w:rsid w:val="001E3182"/>
    <w:rsid w:val="00222B83"/>
    <w:rsid w:val="002C1CB8"/>
    <w:rsid w:val="002D49EF"/>
    <w:rsid w:val="0047115E"/>
    <w:rsid w:val="004A7FCE"/>
    <w:rsid w:val="005A7C20"/>
    <w:rsid w:val="0067547C"/>
    <w:rsid w:val="007045BF"/>
    <w:rsid w:val="00741853"/>
    <w:rsid w:val="008709E7"/>
    <w:rsid w:val="008F187A"/>
    <w:rsid w:val="00AC28B5"/>
    <w:rsid w:val="00AF0DCC"/>
    <w:rsid w:val="00BF2732"/>
    <w:rsid w:val="00C93AB0"/>
    <w:rsid w:val="00D163C2"/>
    <w:rsid w:val="00DD328D"/>
    <w:rsid w:val="00E021B8"/>
    <w:rsid w:val="00E3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9CC40C4-1778-4021-A43A-0600846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4"/>
      <w:ind w:left="2037" w:right="20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line="293" w:lineRule="exact"/>
      <w:ind w:left="112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402" w:hanging="361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5BF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5B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03ac5bc8-a729-4fd2-9278-917130bed417" value=""/>
</sisl>
</file>

<file path=customXml/itemProps1.xml><?xml version="1.0" encoding="utf-8"?>
<ds:datastoreItem xmlns:ds="http://schemas.openxmlformats.org/officeDocument/2006/customXml" ds:itemID="{845AA425-ABF3-4019-8416-D38646F7814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</dc:creator>
  <cp:keywords/>
  <dc:description/>
  <cp:lastModifiedBy>Paolo Cabra - Intermedia</cp:lastModifiedBy>
  <cp:revision>4</cp:revision>
  <dcterms:created xsi:type="dcterms:W3CDTF">2019-12-12T11:13:00Z</dcterms:created>
  <dcterms:modified xsi:type="dcterms:W3CDTF">2019-12-12T12:19:00Z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docIndexRef">
    <vt:lpwstr>5234d4b7-25f1-47ef-8232-c338c35959ad</vt:lpwstr>
  </property>
  <property fmtid="{D5CDD505-2E9C-101B-9397-08002B2CF9AE}" pid="4" name="bjSaver">
    <vt:lpwstr>LwDemf85Soj+U7bf0EXAFYb27qADOdre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6" name="bjDocumentLabelXML-0">
    <vt:lpwstr>ames.com/2008/01/sie/internal/label"&gt;&lt;element uid="03ac5bc8-a729-4fd2-9278-917130bed417" value="" /&gt;&lt;/sisl&gt;</vt:lpwstr>
  </property>
  <property fmtid="{D5CDD505-2E9C-101B-9397-08002B2CF9AE}" pid="7" name="bjDocumentSecurityLabel">
    <vt:lpwstr>Non Classificato-Not Classified</vt:lpwstr>
  </property>
</Properties>
</file>