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F74" w:rsidRPr="001D76FB" w:rsidRDefault="00E01CEC" w:rsidP="00702F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FB">
        <w:rPr>
          <w:rFonts w:ascii="Times New Roman" w:hAnsi="Times New Roman" w:cs="Times New Roman"/>
          <w:b/>
          <w:sz w:val="28"/>
          <w:szCs w:val="28"/>
        </w:rPr>
        <w:t>I 5 TUMORI PIÙ FREQUENTI IN ITALIA</w:t>
      </w:r>
      <w:r w:rsidR="00AC5CF4" w:rsidRPr="001D76FB">
        <w:rPr>
          <w:rFonts w:ascii="Times New Roman" w:hAnsi="Times New Roman" w:cs="Times New Roman"/>
          <w:b/>
          <w:sz w:val="28"/>
          <w:szCs w:val="28"/>
        </w:rPr>
        <w:t xml:space="preserve"> NEL 2019</w:t>
      </w:r>
    </w:p>
    <w:p w:rsidR="004625CF" w:rsidRPr="001D76FB" w:rsidRDefault="004625CF" w:rsidP="00702F93">
      <w:pPr>
        <w:spacing w:after="0" w:line="240" w:lineRule="auto"/>
        <w:jc w:val="center"/>
      </w:pPr>
    </w:p>
    <w:p w:rsidR="003537CE" w:rsidRPr="001D76FB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3537CE" w:rsidRPr="001D76FB" w:rsidRDefault="0053405E" w:rsidP="00FB718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MAMMELLA</w:t>
      </w:r>
      <w:bookmarkStart w:id="0" w:name="_GoBack"/>
      <w:bookmarkEnd w:id="0"/>
    </w:p>
    <w:p w:rsidR="0053405E" w:rsidRPr="001D76FB" w:rsidRDefault="0053405E" w:rsidP="0053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53405E" w:rsidRPr="001D76FB" w:rsidRDefault="0053405E" w:rsidP="005A2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Fattori di rischi</w:t>
      </w:r>
      <w:r w:rsidR="00D471D1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:rsidR="00483950" w:rsidRPr="001D76FB" w:rsidRDefault="0053405E" w:rsidP="0048395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Età</w:t>
      </w:r>
      <w:r w:rsidR="002376D6" w:rsidRPr="001D76FB">
        <w:rPr>
          <w:rFonts w:ascii="Times New Roman" w:eastAsia="MinionPro-Regular" w:hAnsi="Times New Roman" w:cs="Times New Roman"/>
          <w:sz w:val="24"/>
          <w:szCs w:val="24"/>
        </w:rPr>
        <w:t>: il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rischio di ammalar</w:t>
      </w:r>
      <w:r w:rsidR="00D0217B">
        <w:rPr>
          <w:rFonts w:ascii="Times New Roman" w:eastAsia="MinionPro-Regular" w:hAnsi="Times New Roman" w:cs="Times New Roman"/>
          <w:sz w:val="24"/>
          <w:szCs w:val="24"/>
        </w:rPr>
        <w:t>e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di carcinoma della mammella aumenta con l’aumentare dell’età, con una probabilità di sviluppo di cancro al seno del 2,4% fino a 49 anni (1 donna su 4</w:t>
      </w:r>
      <w:r w:rsidR="00620E5F" w:rsidRPr="001D76FB">
        <w:rPr>
          <w:rFonts w:ascii="Times New Roman" w:eastAsia="MinionPro-Regular" w:hAnsi="Times New Roman" w:cs="Times New Roman"/>
          <w:sz w:val="24"/>
          <w:szCs w:val="24"/>
        </w:rPr>
        <w:t>0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), del 5,5% tra 50 e 69 anni (1 donna su </w:t>
      </w:r>
      <w:r w:rsidR="00620E5F" w:rsidRPr="001D76FB">
        <w:rPr>
          <w:rFonts w:ascii="Times New Roman" w:eastAsia="MinionPro-Regular" w:hAnsi="Times New Roman" w:cs="Times New Roman"/>
          <w:sz w:val="24"/>
          <w:szCs w:val="24"/>
        </w:rPr>
        <w:t>20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) e del 4,7% tra 70 e 84</w:t>
      </w:r>
      <w:r w:rsidR="004413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anni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(1 donna su 2</w:t>
      </w:r>
      <w:r w:rsidR="00620E5F" w:rsidRPr="001D76FB">
        <w:rPr>
          <w:rFonts w:ascii="Times New Roman" w:eastAsia="MinionPro-Regular" w:hAnsi="Times New Roman" w:cs="Times New Roman"/>
          <w:sz w:val="24"/>
          <w:szCs w:val="24"/>
        </w:rPr>
        <w:t>5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). La curva di incidenza cresce espon</w:t>
      </w:r>
      <w:r w:rsidR="0044130E" w:rsidRPr="001D76FB">
        <w:rPr>
          <w:rFonts w:ascii="Times New Roman" w:eastAsia="MinionPro-Regular" w:hAnsi="Times New Roman" w:cs="Times New Roman"/>
          <w:sz w:val="24"/>
          <w:szCs w:val="24"/>
        </w:rPr>
        <w:t>enzialmente sino alla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menopausa (intorno a 50-55 anni) e poi rallenta con un plateau dopo la menopausa, per poi riprendere a salire dopo i 60 anni. </w:t>
      </w:r>
    </w:p>
    <w:p w:rsidR="00483950" w:rsidRPr="001D76FB" w:rsidRDefault="00483950" w:rsidP="00EB700E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Fattori riproduttivi</w:t>
      </w:r>
      <w:r w:rsidRPr="001D76FB">
        <w:rPr>
          <w:rFonts w:ascii="Times New Roman" w:hAnsi="Times New Roman" w:cs="Times New Roman"/>
          <w:sz w:val="24"/>
          <w:szCs w:val="24"/>
        </w:rPr>
        <w:t xml:space="preserve">: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una lunga durata del periodo fertile, con un menarca precoce e una menopausa tardiva e quindi una più lunga esposizione dell’epitelio ghiandolare agli stimoli proliferativi degli estrogeni ovarici; la nulliparità, una prima gravidanza a termine dopo i 30 anni, il mancato allattamento al seno.</w:t>
      </w:r>
    </w:p>
    <w:p w:rsidR="00483950" w:rsidRPr="001D76FB" w:rsidRDefault="00483950" w:rsidP="00EB700E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Fattori ormonali</w:t>
      </w:r>
      <w:r w:rsidRPr="001D76FB">
        <w:rPr>
          <w:rFonts w:ascii="Times New Roman" w:hAnsi="Times New Roman" w:cs="Times New Roman"/>
          <w:sz w:val="24"/>
          <w:szCs w:val="24"/>
        </w:rPr>
        <w:t xml:space="preserve">: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incremento del rischio nelle donne che assumono terapia ormonale sostitutiva durante la menopausa, specie se basata su estroprogestinici sintetici ad attività androgenica; aumentato rischio nelle donne che assumono contraccettivi orali.</w:t>
      </w:r>
    </w:p>
    <w:p w:rsidR="00EB700E" w:rsidRPr="001D76FB" w:rsidRDefault="00483950" w:rsidP="00EB700E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Fattori dietetici e metabolici</w:t>
      </w:r>
      <w:r w:rsidRPr="001D76FB">
        <w:rPr>
          <w:rFonts w:ascii="Times New Roman" w:hAnsi="Times New Roman" w:cs="Times New Roman"/>
          <w:sz w:val="24"/>
          <w:szCs w:val="24"/>
        </w:rPr>
        <w:t xml:space="preserve">: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l’elevato consumo di 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alcool e di grassi animali e il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basso consumo di fib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re vegetali sembrerebbero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associati ad aumentato rischio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di carcinoma mammario.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Stanno inoltre 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assumendo importanza la dieta e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quei comportamenti che conducono all’insorgenz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a di </w:t>
      </w:r>
      <w:r w:rsidR="006534EB" w:rsidRPr="001D76FB">
        <w:rPr>
          <w:rFonts w:ascii="Times New Roman" w:eastAsia="MinionPro-Regular" w:hAnsi="Times New Roman" w:cs="Times New Roman"/>
          <w:sz w:val="24"/>
          <w:szCs w:val="24"/>
        </w:rPr>
        <w:t>obesità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in </w:t>
      </w:r>
      <w:proofErr w:type="spellStart"/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>postmenopausa</w:t>
      </w:r>
      <w:proofErr w:type="spellEnd"/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e </w:t>
      </w:r>
      <w:r w:rsidR="006534EB" w:rsidRPr="001D76FB">
        <w:rPr>
          <w:rFonts w:ascii="Times New Roman" w:eastAsia="MinionPro-Regular" w:hAnsi="Times New Roman" w:cs="Times New Roman"/>
          <w:sz w:val="24"/>
          <w:szCs w:val="24"/>
        </w:rPr>
        <w:t xml:space="preserve">alla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sindrome metabolica. L’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>obesità</w:t>
      </w:r>
      <w:r w:rsidR="005A2811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è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un fattore di risc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hio riconosciuto, probabilmente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legato all’eccesso di tessuto adiposo che in </w:t>
      </w:r>
      <w:proofErr w:type="spellStart"/>
      <w:r w:rsidRPr="001D76FB">
        <w:rPr>
          <w:rFonts w:ascii="Times New Roman" w:eastAsia="MinionPro-Regular" w:hAnsi="Times New Roman" w:cs="Times New Roman"/>
          <w:sz w:val="24"/>
          <w:szCs w:val="24"/>
        </w:rPr>
        <w:t>postmeno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>pausa</w:t>
      </w:r>
      <w:proofErr w:type="spellEnd"/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rappresenta la principale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fonte di sintesi di estrogeni circolanti, con conseguente eccessivo stimolo ormonale</w:t>
      </w:r>
      <w:r w:rsidR="00EB700E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sulla ghiandola mammaria.</w:t>
      </w:r>
    </w:p>
    <w:p w:rsidR="00EB700E" w:rsidRPr="001D76FB" w:rsidRDefault="00EB700E" w:rsidP="00EB700E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Pregressa radioterapia</w:t>
      </w:r>
      <w:r w:rsidRPr="001D76FB">
        <w:rPr>
          <w:rFonts w:ascii="Times New Roman" w:hAnsi="Times New Roman" w:cs="Times New Roman"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(a livello toracico e specialmente se prima dei 30 anni </w:t>
      </w:r>
      <w:r w:rsidR="008F22EF" w:rsidRPr="001D76FB">
        <w:rPr>
          <w:rFonts w:ascii="Times New Roman" w:eastAsia="MinionPro-Regular" w:hAnsi="Times New Roman" w:cs="Times New Roman"/>
          <w:sz w:val="24"/>
          <w:szCs w:val="24"/>
        </w:rPr>
        <w:t>d’età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).</w:t>
      </w:r>
    </w:p>
    <w:p w:rsidR="00EB700E" w:rsidRPr="001D76FB" w:rsidRDefault="00EB700E" w:rsidP="00EB700E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Precedenti displasie o neoplasie mammarie</w:t>
      </w:r>
    </w:p>
    <w:p w:rsidR="00EB700E" w:rsidRPr="001D76FB" w:rsidRDefault="00EB700E" w:rsidP="00EB700E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Familiarità ed ereditarietà</w:t>
      </w:r>
      <w:r w:rsidRPr="001D76FB">
        <w:rPr>
          <w:rFonts w:ascii="Times New Roman" w:hAnsi="Times New Roman" w:cs="Times New Roman"/>
          <w:sz w:val="24"/>
          <w:szCs w:val="24"/>
        </w:rPr>
        <w:t xml:space="preserve">: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anche se la maggior</w:t>
      </w:r>
      <w:r w:rsidR="00FD7353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parte dei</w:t>
      </w:r>
      <w:r w:rsidR="008F22EF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carcinomi mammari è costituita da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forme sporadiche, il 5%-7% risulta legato a fattori ereditari, 1/4 dei quali determinati dalla mutazione di due geni, BRCA 1 e/o BRCA 2. Nelle donne portatrici di mutazioni del gene BRCA 1 il rischio di ammalarsi nel corso de</w:t>
      </w:r>
      <w:r w:rsidR="008F22EF" w:rsidRPr="001D76FB">
        <w:rPr>
          <w:rFonts w:ascii="Times New Roman" w:eastAsia="MinionPro-Regular" w:hAnsi="Times New Roman" w:cs="Times New Roman"/>
          <w:sz w:val="24"/>
          <w:szCs w:val="24"/>
        </w:rPr>
        <w:t>lla vita di carcinoma mammario è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pari al 65% e nelle donne con mutazioni del gene BRCA 2 pari al 40%.</w:t>
      </w:r>
    </w:p>
    <w:p w:rsidR="007A29A5" w:rsidRPr="001D76FB" w:rsidRDefault="007A29A5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5A2811" w:rsidRPr="001D76FB" w:rsidRDefault="005A2811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7A29A5" w:rsidRPr="001D76FB" w:rsidRDefault="00620E5F" w:rsidP="0062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Si stima che</w:t>
      </w:r>
      <w:r w:rsidR="00190348" w:rsidRPr="001D76FB">
        <w:rPr>
          <w:rFonts w:ascii="Times New Roman" w:eastAsia="MinionPro-Regular" w:hAnsi="Times New Roman" w:cs="Times New Roman"/>
          <w:b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nel 2019</w:t>
      </w:r>
      <w:r w:rsidR="00190348" w:rsidRPr="001D76FB">
        <w:rPr>
          <w:rFonts w:ascii="Times New Roman" w:eastAsia="MinionPro-Regular" w:hAnsi="Times New Roman" w:cs="Times New Roman"/>
          <w:b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verranno diagnosticati in Italia circa 53.</w:t>
      </w:r>
      <w:r w:rsidR="007A29A5" w:rsidRPr="001D76FB">
        <w:rPr>
          <w:rFonts w:ascii="Times New Roman" w:eastAsia="MinionPro-Regular" w:hAnsi="Times New Roman" w:cs="Times New Roman"/>
          <w:b/>
          <w:sz w:val="24"/>
          <w:szCs w:val="24"/>
        </w:rPr>
        <w:t>5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00 nuovi casi di carcinomi della mammella</w:t>
      </w:r>
      <w:r w:rsidR="007A29A5"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(53.000 donne e 500 uomini)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. 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È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la neoplasia più diagnosticata nelle donne, in cui circa un tumore maligno ogni tre (30%) è un tumore mammario. Considerando le frequenze nelle varie fasce d’età, i tumori della mammella rappresentano il tumore più frequentemente diagnosticato tra le donne nella fascia 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>d’età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0-49 anni (40%), 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>fra le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50-69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>enni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(35%)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e nelle over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70 (22%).</w:t>
      </w:r>
    </w:p>
    <w:p w:rsidR="00620E5F" w:rsidRPr="001D76FB" w:rsidRDefault="007A29A5" w:rsidP="0062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Il carcinoma della</w:t>
      </w:r>
      <w:r w:rsidR="00620E5F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mammella mostra un lieve aumento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="00620E5F" w:rsidRPr="001D76FB">
        <w:rPr>
          <w:rFonts w:ascii="Times New Roman" w:eastAsia="MinionPro-Regular" w:hAnsi="Times New Roman" w:cs="Times New Roman"/>
          <w:bCs/>
          <w:sz w:val="24"/>
          <w:szCs w:val="24"/>
        </w:rPr>
        <w:t>dell’incidenza in Italia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="00620E5F" w:rsidRPr="001D76FB">
        <w:rPr>
          <w:rFonts w:ascii="Times New Roman" w:eastAsia="MinionPro-Regular" w:hAnsi="Times New Roman" w:cs="Times New Roman"/>
          <w:bCs/>
          <w:sz w:val="24"/>
          <w:szCs w:val="24"/>
        </w:rPr>
        <w:t>(+0.3%)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,</w:t>
      </w:r>
      <w:r w:rsidR="00620E5F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soprattutto nelle donne fuori fascia screening e nelle aree del </w:t>
      </w:r>
      <w:r w:rsidR="009B3634">
        <w:rPr>
          <w:rFonts w:ascii="Times New Roman" w:eastAsia="MinionPro-Regular" w:hAnsi="Times New Roman" w:cs="Times New Roman"/>
          <w:bCs/>
          <w:sz w:val="24"/>
          <w:szCs w:val="24"/>
        </w:rPr>
        <w:t>C</w:t>
      </w:r>
      <w:r w:rsidR="00620E5F" w:rsidRPr="001D76FB">
        <w:rPr>
          <w:rFonts w:ascii="Times New Roman" w:eastAsia="MinionPro-Regular" w:hAnsi="Times New Roman" w:cs="Times New Roman"/>
          <w:bCs/>
          <w:sz w:val="24"/>
          <w:szCs w:val="24"/>
        </w:rPr>
        <w:t>entro-Nord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="00620E5F" w:rsidRPr="001D76FB">
        <w:rPr>
          <w:rFonts w:ascii="Times New Roman" w:eastAsia="MinionPro-Regular" w:hAnsi="Times New Roman" w:cs="Times New Roman"/>
          <w:bCs/>
          <w:sz w:val="24"/>
          <w:szCs w:val="24"/>
        </w:rPr>
        <w:t>per l’estensione dei programmi di screening e della popolazione target (da 50-69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="00620E5F" w:rsidRPr="001D76FB">
        <w:rPr>
          <w:rFonts w:ascii="Times New Roman" w:eastAsia="MinionPro-Regular" w:hAnsi="Times New Roman" w:cs="Times New Roman"/>
          <w:bCs/>
          <w:sz w:val="24"/>
          <w:szCs w:val="24"/>
        </w:rPr>
        <w:t>anni a 45-74 anni)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,</w:t>
      </w:r>
      <w:r w:rsidR="00620E5F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ma presenta un trend in crescita anche in alcune regioni del Sud.</w:t>
      </w:r>
    </w:p>
    <w:p w:rsidR="00620E5F" w:rsidRPr="001D76FB" w:rsidRDefault="00620E5F" w:rsidP="0062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La malattia presenta un’ampia variabilità geografica, con tassi più alti, fino a 10 volte,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nei Paesi economicamente più avanzati. L’incidenza del carcinoma mammario ha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="005F2F2C">
        <w:rPr>
          <w:rFonts w:ascii="Times New Roman" w:eastAsia="MinionPro-Regular" w:hAnsi="Times New Roman" w:cs="Times New Roman"/>
          <w:bCs/>
          <w:sz w:val="24"/>
          <w:szCs w:val="24"/>
        </w:rPr>
        <w:t>evidenziato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una flessione in molte aree del mondo intorno al Duemila. La significativa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riduzione di incidenza osservata negli USA nel 2003 nelle donne con età ≥50 anni, e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prevalentemente per i tumori </w:t>
      </w:r>
      <w:proofErr w:type="spellStart"/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ormonoresponsivi</w:t>
      </w:r>
      <w:proofErr w:type="spellEnd"/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, è stata messa in relazione alla riduzione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di prescrizioni di terapia ormonale sostitutiva in menopausa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lastRenderedPageBreak/>
        <w:t>dopo la pubblicazione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dei risultati dello studio WHI (che avevano evidenziato un’aumentata incidenza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di tumori invasivi mammari e di malattie cardiovascolari con l’uso di una terapia ormonale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contenente estroprogestinici).</w:t>
      </w:r>
    </w:p>
    <w:p w:rsidR="00620E5F" w:rsidRPr="001D76FB" w:rsidRDefault="00620E5F" w:rsidP="0062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In Italia l’iniziale riduzione di incidenza, considerando la minore diffusione della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terapia ormonale sostitutiva tra le donne in menopausa, viene principalmente riferita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all’effetto di saturazione dell’incidenza determinata dai primi round dei programmi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di screening mammografico, che nella seconda metà degli anni ’90 hanno interessato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ampie aree del Paese.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Le donne del Centro hanno meno probabilità di avere un tumore della mammella</w:t>
      </w:r>
      <w:r w:rsidR="007A29A5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(-12%) e quelle del Sud -23%.</w:t>
      </w:r>
    </w:p>
    <w:p w:rsidR="004B78F3" w:rsidRPr="001D76FB" w:rsidRDefault="004B78F3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7A29A5" w:rsidRPr="001D76FB" w:rsidRDefault="004B78F3" w:rsidP="001903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7A29A5" w:rsidRPr="001D76FB" w:rsidRDefault="007A29A5" w:rsidP="007A29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Anche per il 2016 il carcinoma mammario ha rappresentato la prima causa di morte per tumore nelle donne, con</w:t>
      </w:r>
      <w:r w:rsidR="0016767D"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oltre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12.</w:t>
      </w:r>
      <w:r w:rsidR="00E443FE" w:rsidRPr="001D76FB">
        <w:rPr>
          <w:rFonts w:ascii="Times New Roman" w:eastAsia="MinionPro-Regular" w:hAnsi="Times New Roman" w:cs="Times New Roman"/>
          <w:b/>
          <w:sz w:val="24"/>
          <w:szCs w:val="24"/>
        </w:rPr>
        <w:t>600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decessi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(ISTAT). È la prima causa di morte nelle diverse età della vita, rappresentando il 28% delle cause di morte oncologica prima dei 50 anni, il 21% tra i 50 e i 69 anni e il 14% dopo i 70 anni.</w:t>
      </w:r>
    </w:p>
    <w:p w:rsidR="007A29A5" w:rsidRPr="001D76FB" w:rsidRDefault="007A29A5" w:rsidP="007A29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La mortalità appare in calo in tutte le classi di età, soprattutto nelle donne con meno</w:t>
      </w:r>
      <w:r w:rsidR="00375257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di 50 anni, attribuibile alla maggiore diffusione dei programmi di diagnosi precoce</w:t>
      </w:r>
      <w:r w:rsidR="00375257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e</w:t>
      </w:r>
      <w:r w:rsidR="008516A7">
        <w:rPr>
          <w:rFonts w:ascii="Times New Roman" w:eastAsia="MinionPro-Regular" w:hAnsi="Times New Roman" w:cs="Times New Roman"/>
          <w:bCs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quindi</w:t>
      </w:r>
      <w:r w:rsidR="008516A7">
        <w:rPr>
          <w:rFonts w:ascii="Times New Roman" w:eastAsia="MinionPro-Regular" w:hAnsi="Times New Roman" w:cs="Times New Roman"/>
          <w:bCs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all’anticipazione diagnostica e ai progressi terapeutici. </w:t>
      </w:r>
    </w:p>
    <w:p w:rsidR="007A29A5" w:rsidRPr="001D76FB" w:rsidRDefault="007A29A5" w:rsidP="004B7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AD020D" w:rsidRPr="001D76FB" w:rsidRDefault="00AD020D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Sopravvivenza</w:t>
      </w:r>
    </w:p>
    <w:p w:rsidR="00190348" w:rsidRPr="001D76FB" w:rsidRDefault="000F1C52" w:rsidP="000F1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delle donne con tumore della mammella in Italia è pari all’87%.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Non presenta eterogeneità elevata tra fasce di età: la sopravvivenza a 5 anni è pari al 91% nelle donne giovani (15-44 anni), 92% tra le 45-54</w:t>
      </w:r>
      <w:r w:rsidR="00BB45F0" w:rsidRPr="001D76FB">
        <w:rPr>
          <w:rFonts w:ascii="Times New Roman" w:eastAsia="MinionPro-Regular" w:hAnsi="Times New Roman" w:cs="Times New Roman"/>
          <w:bCs/>
          <w:sz w:val="24"/>
          <w:szCs w:val="24"/>
        </w:rPr>
        <w:t>e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nni, 91% tra l</w:t>
      </w:r>
      <w:r w:rsidR="00BB45F0" w:rsidRPr="001D76FB">
        <w:rPr>
          <w:rFonts w:ascii="Times New Roman" w:eastAsia="MinionPro-Regular" w:hAnsi="Times New Roman" w:cs="Times New Roman"/>
          <w:bCs/>
          <w:sz w:val="24"/>
          <w:szCs w:val="24"/>
        </w:rPr>
        <w:t>e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55-64</w:t>
      </w:r>
      <w:r w:rsidR="00BB45F0" w:rsidRPr="001D76FB">
        <w:rPr>
          <w:rFonts w:ascii="Times New Roman" w:eastAsia="MinionPro-Regular" w:hAnsi="Times New Roman" w:cs="Times New Roman"/>
          <w:bCs/>
          <w:sz w:val="24"/>
          <w:szCs w:val="24"/>
        </w:rPr>
        <w:t>enni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, 89% tra le 65-74</w:t>
      </w:r>
      <w:r w:rsidR="00BB45F0" w:rsidRPr="001D76FB">
        <w:rPr>
          <w:rFonts w:ascii="Times New Roman" w:eastAsia="MinionPro-Regular" w:hAnsi="Times New Roman" w:cs="Times New Roman"/>
          <w:bCs/>
          <w:sz w:val="24"/>
          <w:szCs w:val="24"/>
        </w:rPr>
        <w:t>enni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, leggermente inferiore, 79%, tra le</w:t>
      </w:r>
      <w:r w:rsidR="00BB45F0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over 75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. Si evidenziano livelli leggermente inferiori nel Meridione: Nord Italia (87-88%), Centro (87%) e Sud (85%). 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La sopravvivenza dopo 10 anni dalla diagnosi è pari all’80%.</w:t>
      </w:r>
    </w:p>
    <w:p w:rsidR="00AD020D" w:rsidRPr="001D76FB" w:rsidRDefault="00AD020D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62D29" w:rsidRPr="001D76FB" w:rsidRDefault="00D62D29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Prevalenza</w:t>
      </w:r>
    </w:p>
    <w:p w:rsidR="00BB45F0" w:rsidRPr="001D76FB" w:rsidRDefault="00BB45F0" w:rsidP="00BB4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In Italia vivono </w:t>
      </w:r>
      <w:r w:rsidR="008F0E7B"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circa 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8</w:t>
      </w:r>
      <w:r w:rsidR="008F0E7B" w:rsidRPr="001D76FB">
        <w:rPr>
          <w:rFonts w:ascii="Times New Roman" w:eastAsia="MinionPro-Regular" w:hAnsi="Times New Roman" w:cs="Times New Roman"/>
          <w:b/>
          <w:sz w:val="24"/>
          <w:szCs w:val="24"/>
        </w:rPr>
        <w:t>15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.000 donne che hanno avuto una diagnosi di carcinoma mammario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, pari al 44% di tutte le donne che convivono con una pregressa diagnosi di tumore e al 24% di tutti i casi prevalenti (uomini e donne). Tra queste donne, la diagnosi è stata formulata da meno di 2 anni nel 16% dei casi, tra 2 e 5 anni nel 14%, tra 5 e 10 anni nel 23%, oltre i 10 anni nel 47%.</w:t>
      </w:r>
    </w:p>
    <w:p w:rsidR="00BB45F0" w:rsidRPr="001D76FB" w:rsidRDefault="00BB45F0" w:rsidP="00580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476352" w:rsidRPr="001D76FB" w:rsidRDefault="00476352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580EA9" w:rsidRPr="001D76FB" w:rsidRDefault="00580EA9" w:rsidP="00580EA9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COLON-RETTO</w:t>
      </w:r>
    </w:p>
    <w:p w:rsidR="00580EA9" w:rsidRPr="001D76FB" w:rsidRDefault="00580EA9" w:rsidP="00580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2A6B4D" w:rsidRPr="001D76FB" w:rsidRDefault="002A6B4D" w:rsidP="002A6B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D76FB">
        <w:rPr>
          <w:rFonts w:ascii="Times New Roman" w:hAnsi="Times New Roman"/>
          <w:b/>
          <w:sz w:val="24"/>
          <w:szCs w:val="24"/>
        </w:rPr>
        <w:t>Fattori di rischio</w:t>
      </w:r>
    </w:p>
    <w:p w:rsidR="002A6B4D" w:rsidRPr="001D76FB" w:rsidRDefault="002A6B4D" w:rsidP="002A6B4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Lesioni precancerose</w:t>
      </w:r>
      <w:r w:rsidRPr="001D76FB">
        <w:rPr>
          <w:rFonts w:ascii="Times New Roman" w:hAnsi="Times New Roman" w:cs="Times New Roman"/>
          <w:sz w:val="24"/>
          <w:szCs w:val="24"/>
        </w:rPr>
        <w:t xml:space="preserve"> (ad esempio gli adenomi con componente displastica), circa l’80% dei carcinomi del colon-retto insorge a partire da lesioni precancerose</w:t>
      </w:r>
      <w:r w:rsidR="003D57F1" w:rsidRPr="001D76FB">
        <w:rPr>
          <w:rFonts w:ascii="Times New Roman" w:hAnsi="Times New Roman" w:cs="Times New Roman"/>
          <w:sz w:val="24"/>
          <w:szCs w:val="24"/>
        </w:rPr>
        <w:t>.</w:t>
      </w:r>
    </w:p>
    <w:p w:rsidR="006E6E62" w:rsidRPr="001D76FB" w:rsidRDefault="002A6B4D" w:rsidP="006E6E6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Stili di vita errati</w:t>
      </w:r>
      <w:r w:rsidRPr="001D76FB">
        <w:rPr>
          <w:rFonts w:ascii="Times New Roman" w:hAnsi="Times New Roman" w:cs="Times New Roman"/>
          <w:sz w:val="24"/>
          <w:szCs w:val="24"/>
        </w:rPr>
        <w:t>, elevato consumo di carni rosse ed insaccati, farine e zuccheri raffinati, sovrappeso ed attività fisica ridotta, fumo ed eccesso di alcol</w:t>
      </w:r>
      <w:r w:rsidR="003D57F1" w:rsidRPr="001D76FB">
        <w:rPr>
          <w:rFonts w:ascii="Times New Roman" w:hAnsi="Times New Roman" w:cs="Times New Roman"/>
          <w:sz w:val="24"/>
          <w:szCs w:val="24"/>
        </w:rPr>
        <w:t>.</w:t>
      </w:r>
    </w:p>
    <w:p w:rsidR="002A6B4D" w:rsidRPr="001D76FB" w:rsidRDefault="002A6B4D" w:rsidP="006E6E6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Familiarità ed ereditarietà</w:t>
      </w:r>
      <w:r w:rsidR="003D57F1" w:rsidRPr="001D76FB">
        <w:rPr>
          <w:rFonts w:ascii="Times New Roman" w:hAnsi="Times New Roman" w:cs="Times New Roman"/>
          <w:sz w:val="24"/>
          <w:szCs w:val="24"/>
        </w:rPr>
        <w:t xml:space="preserve">: </w:t>
      </w:r>
      <w:r w:rsidR="006E6E62" w:rsidRPr="001D76FB">
        <w:rPr>
          <w:rFonts w:ascii="Times New Roman" w:eastAsia="MinionPro-Regular" w:hAnsi="Times New Roman" w:cs="Times New Roman"/>
          <w:sz w:val="24"/>
          <w:szCs w:val="24"/>
        </w:rPr>
        <w:t>circa un terzo dei tumori del colon-retto presenta caratteristiche</w:t>
      </w:r>
      <w:r w:rsidR="006E6E62" w:rsidRPr="001D76FB">
        <w:rPr>
          <w:rFonts w:ascii="Times New Roman" w:hAnsi="Times New Roman" w:cs="Times New Roman"/>
          <w:sz w:val="24"/>
          <w:szCs w:val="24"/>
        </w:rPr>
        <w:t xml:space="preserve"> </w:t>
      </w:r>
      <w:r w:rsidR="006E6E62" w:rsidRPr="001D76FB">
        <w:rPr>
          <w:rFonts w:ascii="Times New Roman" w:eastAsia="MinionPro-Regular" w:hAnsi="Times New Roman" w:cs="Times New Roman"/>
          <w:sz w:val="24"/>
          <w:szCs w:val="24"/>
        </w:rPr>
        <w:t>di familiarità ascrivibile a suscettibilità ereditarie: solo una parte di questo rischio</w:t>
      </w:r>
      <w:r w:rsidR="006E6E62" w:rsidRPr="001D76FB">
        <w:rPr>
          <w:rFonts w:ascii="Times New Roman" w:hAnsi="Times New Roman" w:cs="Times New Roman"/>
          <w:sz w:val="24"/>
          <w:szCs w:val="24"/>
        </w:rPr>
        <w:t xml:space="preserve"> </w:t>
      </w:r>
      <w:r w:rsidR="006E6E62" w:rsidRPr="001D76FB">
        <w:rPr>
          <w:rFonts w:ascii="Times New Roman" w:eastAsia="MinionPro-Regular" w:hAnsi="Times New Roman" w:cs="Times New Roman"/>
          <w:sz w:val="24"/>
          <w:szCs w:val="24"/>
        </w:rPr>
        <w:t>familiare (2-5%) è riconducibile a sindromi in cui sono state identificate mutazioni</w:t>
      </w:r>
      <w:r w:rsidR="006E6E62" w:rsidRPr="001D76FB">
        <w:rPr>
          <w:rFonts w:ascii="Times New Roman" w:hAnsi="Times New Roman" w:cs="Times New Roman"/>
          <w:sz w:val="24"/>
          <w:szCs w:val="24"/>
        </w:rPr>
        <w:t xml:space="preserve"> </w:t>
      </w:r>
      <w:r w:rsidR="006E6E62" w:rsidRPr="001D76FB">
        <w:rPr>
          <w:rFonts w:ascii="Times New Roman" w:eastAsia="MinionPro-Regular" w:hAnsi="Times New Roman" w:cs="Times New Roman"/>
          <w:sz w:val="24"/>
          <w:szCs w:val="24"/>
        </w:rPr>
        <w:t>genetiche associate ad aumento del rischio.</w:t>
      </w:r>
    </w:p>
    <w:p w:rsidR="002A6B4D" w:rsidRPr="001D76FB" w:rsidRDefault="002A6B4D" w:rsidP="002A6B4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 xml:space="preserve">Altre patologie, </w:t>
      </w:r>
      <w:r w:rsidRPr="001D76FB">
        <w:rPr>
          <w:rFonts w:ascii="Times New Roman" w:hAnsi="Times New Roman" w:cs="Times New Roman"/>
          <w:sz w:val="24"/>
          <w:szCs w:val="24"/>
        </w:rPr>
        <w:t>malattia di Crohn e rettocolite ulcerosa, poliposi adenomatosa familiare (FAP), sindrome di Lynch</w:t>
      </w:r>
      <w:r w:rsidR="003D57F1" w:rsidRPr="001D76FB">
        <w:rPr>
          <w:rFonts w:ascii="Times New Roman" w:hAnsi="Times New Roman" w:cs="Times New Roman"/>
          <w:sz w:val="24"/>
          <w:szCs w:val="24"/>
        </w:rPr>
        <w:t>.</w:t>
      </w:r>
    </w:p>
    <w:p w:rsidR="002A6B4D" w:rsidRPr="001D76FB" w:rsidRDefault="002A6B4D" w:rsidP="00580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6E6E62" w:rsidRPr="001D76FB" w:rsidRDefault="006E6E62" w:rsidP="006E6E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476352" w:rsidRPr="001D76FB" w:rsidRDefault="00DC4B49" w:rsidP="00DC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Sono oltre 49.000 le nuove diagnosi di tumore del colon-retto attese</w:t>
      </w:r>
      <w:r w:rsidR="002A2F35" w:rsidRPr="001D76FB">
        <w:rPr>
          <w:rFonts w:ascii="Times New Roman" w:eastAsia="MinionPro-Regular" w:hAnsi="Times New Roman" w:cs="Times New Roman"/>
          <w:b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nel 2019</w:t>
      </w:r>
      <w:r w:rsidR="002A2F35" w:rsidRPr="001D76FB">
        <w:rPr>
          <w:rFonts w:ascii="Times New Roman" w:eastAsia="MinionPro-Regular" w:hAnsi="Times New Roman" w:cs="Times New Roman"/>
          <w:b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in Italia (27.000 negli uomini e 22.000 nelle donne)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. I tumori del colon-retto rappresentano la terza neoplasia negli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lastRenderedPageBreak/>
        <w:t>uomini (14%) e la seconda nelle donne (12%). In Italia la distribuzione del tumore del colon-retto è molto disomogenea e riflette l’andamento degli screening oncologici. L’incidenza, rispetto alle regioni del Nord, è più alta nelle regioni del Centro (sia negli uomini che nelle donne</w:t>
      </w:r>
      <w:r w:rsidR="00994C98">
        <w:rPr>
          <w:rFonts w:ascii="Times New Roman" w:eastAsia="MinionPro-Regular" w:hAnsi="Times New Roman" w:cs="Times New Roman"/>
          <w:bCs/>
          <w:sz w:val="24"/>
          <w:szCs w:val="24"/>
        </w:rPr>
        <w:t xml:space="preserve">,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+7%). Nelle Regioni del Sud è meno frequente (-6% uomini, -5% donne)</w:t>
      </w:r>
      <w:r w:rsidR="002A2F35" w:rsidRPr="001D76FB">
        <w:rPr>
          <w:rFonts w:ascii="Times New Roman" w:eastAsia="MinionPro-Regular" w:hAnsi="Times New Roman" w:cs="Times New Roman"/>
          <w:bCs/>
          <w:sz w:val="24"/>
          <w:szCs w:val="24"/>
        </w:rPr>
        <w:t>.</w:t>
      </w:r>
    </w:p>
    <w:p w:rsidR="00476352" w:rsidRPr="001D76FB" w:rsidRDefault="00476352" w:rsidP="006E6E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476352" w:rsidRPr="001D76FB" w:rsidRDefault="006E6E62" w:rsidP="006E6E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Mortalità</w:t>
      </w:r>
    </w:p>
    <w:p w:rsidR="002A2F35" w:rsidRPr="001D76FB" w:rsidRDefault="008C4605" w:rsidP="008C4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Nel 2016 (ISTAT) i decessi per il tumore del colon-retto</w:t>
      </w:r>
      <w:r w:rsidR="000945AC"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in Italia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sono stati quasi 20.000 (11.000 negli uomini e 9.000 nelle donne).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Il</w:t>
      </w:r>
      <w:r w:rsidR="00DD1075">
        <w:rPr>
          <w:rFonts w:ascii="Times New Roman" w:eastAsia="MinionPro-Regular" w:hAnsi="Times New Roman" w:cs="Times New Roman"/>
          <w:bCs/>
          <w:sz w:val="24"/>
          <w:szCs w:val="24"/>
        </w:rPr>
        <w:t xml:space="preserve"> cancro del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colon-retto è la seconda causa di morte sia negli uomini (11%) che nelle donne (12%). </w:t>
      </w:r>
    </w:p>
    <w:p w:rsidR="008C4605" w:rsidRPr="001D76FB" w:rsidRDefault="008C4605" w:rsidP="00580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8C4605" w:rsidRPr="001D76FB" w:rsidRDefault="00F60619" w:rsidP="00F60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F41ADC" w:rsidRPr="001D76FB" w:rsidRDefault="00F41ADC" w:rsidP="00F41A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sz w:val="24"/>
          <w:szCs w:val="24"/>
        </w:rPr>
        <w:t>Il carcinoma del colon-retto presenta complessivamente una prognosi favorevole rispetto</w:t>
      </w:r>
      <w:r w:rsidR="000374E7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a molti altri tumori solidi. </w:t>
      </w: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La sopravvivenza a 5 anni </w:t>
      </w:r>
      <w:r w:rsidR="000374E7"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è </w:t>
      </w: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>pari a</w:t>
      </w:r>
      <w:r w:rsidR="00AB1DFD"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>l</w:t>
      </w: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 65%, senza differenze tra maschi e femmine.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Presenta valori elevati tra i pazienti</w:t>
      </w:r>
      <w:r w:rsidR="000374E7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giovani, passando dal 69% tra 15 e 44 anni al 54% tra gli anziani (75+).</w:t>
      </w:r>
    </w:p>
    <w:p w:rsidR="00F41ADC" w:rsidRPr="001D76FB" w:rsidRDefault="00F41ADC" w:rsidP="00F41A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sz w:val="24"/>
          <w:szCs w:val="24"/>
        </w:rPr>
        <w:t>Le Regioni meridionali presentano indici di sopravvivenza inferiori di circa il 6-8%</w:t>
      </w:r>
      <w:r w:rsidR="000374E7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rispetto al Centro-Nord nei maschi e del 5-6% nelle femmine.</w:t>
      </w:r>
    </w:p>
    <w:p w:rsidR="008C4605" w:rsidRPr="001D76FB" w:rsidRDefault="00F41ADC" w:rsidP="00F41A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sz w:val="24"/>
          <w:szCs w:val="24"/>
        </w:rPr>
        <w:t>La sopravvivenza dopo 10 anni dalla diagnosi risulta leggermente inferiore rispetto</w:t>
      </w:r>
      <w:r w:rsidR="000374E7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a quella a 5 anni, con valori pari al 64% per il colon e al 58% per il retto, omogenea tra</w:t>
      </w:r>
      <w:r w:rsidR="000374E7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uomini e donne.</w:t>
      </w:r>
    </w:p>
    <w:p w:rsidR="008C4605" w:rsidRPr="001D76FB" w:rsidRDefault="008C4605" w:rsidP="00F60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F60619" w:rsidRPr="001D76FB" w:rsidRDefault="00F60619" w:rsidP="00F606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0374E7" w:rsidRPr="001D76FB" w:rsidRDefault="0016767D" w:rsidP="0016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In Italia </w:t>
      </w:r>
      <w:r w:rsidR="00FB32C7">
        <w:rPr>
          <w:rFonts w:ascii="Times New Roman" w:eastAsia="MinionPro-Regular" w:hAnsi="Times New Roman" w:cs="Times New Roman"/>
          <w:b/>
          <w:sz w:val="24"/>
          <w:szCs w:val="24"/>
        </w:rPr>
        <w:t>vivono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circa 481.000 persone con pregressa diagnosi di tumore del colon-retto (16% uomini e 12% donne).</w:t>
      </w:r>
      <w:r w:rsidRPr="001D76FB"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Oltre 51.000 sono le persone che hanno sviluppato un tumore del colon-retto in Italia da più di 20 anni e oltre 117.000 tra i 10 e i 20 anni</w:t>
      </w:r>
      <w:r w:rsidR="00090880">
        <w:rPr>
          <w:rFonts w:ascii="Times New Roman" w:eastAsia="MinionPro-Regular" w:hAnsi="Times New Roman" w:cs="Times New Roman"/>
          <w:bCs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che possono considerarsi ormai guarite. </w:t>
      </w:r>
    </w:p>
    <w:p w:rsidR="003D57F1" w:rsidRPr="001D76FB" w:rsidRDefault="003D57F1" w:rsidP="00F60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16767D" w:rsidRPr="001D76FB" w:rsidRDefault="0016767D" w:rsidP="00F60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D57F1" w:rsidRPr="001D76FB" w:rsidRDefault="003D57F1" w:rsidP="003D57F1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POLMONE</w:t>
      </w:r>
    </w:p>
    <w:p w:rsidR="003D57F1" w:rsidRPr="001D76FB" w:rsidRDefault="003D57F1" w:rsidP="00F60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54A3C" w:rsidRPr="001D76FB" w:rsidRDefault="003D57F1" w:rsidP="00D54A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Fattori di rischio</w:t>
      </w:r>
    </w:p>
    <w:p w:rsidR="003D57F1" w:rsidRPr="001D76FB" w:rsidRDefault="003D57F1" w:rsidP="00D54A3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Fumo di sigaretta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: è senza dubbio il più rilevante fattore di rischio. È attribuibile al fumo l’85-90% di tutti i tumori polmonari. Il rischio relativo dei fum</w:t>
      </w:r>
      <w:r w:rsidR="00D54A3C" w:rsidRPr="001D76FB">
        <w:rPr>
          <w:rFonts w:ascii="Times New Roman" w:eastAsia="MinionPro-Regular" w:hAnsi="Times New Roman" w:cs="Times New Roman"/>
          <w:sz w:val="24"/>
          <w:szCs w:val="24"/>
        </w:rPr>
        <w:t xml:space="preserve">atori rispetto ai non fumatori aumenta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di circa 14 volte e aumenta ulteriormente fino a 20 volte nei forti fumatori (oltre le 20 sigarette al giorno).</w:t>
      </w:r>
      <w:r w:rsidR="007E6735">
        <w:rPr>
          <w:rFonts w:ascii="MinionPro-Regular" w:eastAsia="MinionPro-Regular" w:cs="MinionPro-Regular"/>
          <w:sz w:val="20"/>
          <w:szCs w:val="20"/>
        </w:rPr>
        <w:t xml:space="preserve"> </w:t>
      </w:r>
      <w:r w:rsidR="00D54A3C" w:rsidRPr="001D76FB">
        <w:rPr>
          <w:rFonts w:ascii="Times New Roman" w:eastAsia="MinionPro-Regular" w:hAnsi="Times New Roman" w:cs="Times New Roman"/>
          <w:sz w:val="24"/>
          <w:szCs w:val="24"/>
        </w:rPr>
        <w:t>Importanti studi hanno anche dimostrato che la sospensione del fumo di sigaretta produce nel tempo una forte riduzione del rischio.</w:t>
      </w:r>
    </w:p>
    <w:p w:rsidR="003D57F1" w:rsidRPr="001D76FB" w:rsidRDefault="003D57F1" w:rsidP="003D57F1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>Fumo passivo</w:t>
      </w:r>
      <w:r w:rsidRPr="001D76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7F1" w:rsidRPr="001D76FB" w:rsidRDefault="003D57F1" w:rsidP="003D57F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 xml:space="preserve">Fattori ambientali: </w:t>
      </w:r>
      <w:r w:rsidRPr="001D76FB">
        <w:rPr>
          <w:rFonts w:ascii="Times New Roman" w:hAnsi="Times New Roman" w:cs="Times New Roman"/>
          <w:sz w:val="24"/>
          <w:szCs w:val="24"/>
        </w:rPr>
        <w:t>l’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esposizione al particolato atmosferico e all’inquinamento atmosferico è stata classificata dallo IARC (</w:t>
      </w:r>
      <w:r w:rsidRPr="001D76FB">
        <w:rPr>
          <w:rFonts w:ascii="Times New Roman" w:eastAsia="MinionPro-Regular" w:hAnsi="Times New Roman" w:cs="Times New Roman"/>
          <w:i/>
          <w:sz w:val="24"/>
          <w:szCs w:val="24"/>
        </w:rPr>
        <w:t>International Agency for the Research on Cancer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) come cancerogena per l’uomo.</w:t>
      </w:r>
    </w:p>
    <w:p w:rsidR="003D57F1" w:rsidRPr="001D76FB" w:rsidRDefault="003D57F1" w:rsidP="003D57F1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 xml:space="preserve">Esposizioni professionali a sostanze tossiche, </w:t>
      </w:r>
      <w:r w:rsidRPr="001D76FB">
        <w:rPr>
          <w:rFonts w:ascii="Times New Roman" w:hAnsi="Times New Roman" w:cs="Times New Roman"/>
          <w:sz w:val="24"/>
          <w:szCs w:val="24"/>
        </w:rPr>
        <w:t>radon, asbesto, metalli pesanti (cromo, cadmio, arsenico, ecc.).</w:t>
      </w:r>
    </w:p>
    <w:p w:rsidR="003D57F1" w:rsidRPr="001D76FB" w:rsidRDefault="003D57F1" w:rsidP="003D57F1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</w:rPr>
        <w:t xml:space="preserve">Processi infiammatori cronici, </w:t>
      </w:r>
      <w:r w:rsidR="00D54A3C" w:rsidRPr="001D76FB">
        <w:rPr>
          <w:rFonts w:ascii="Times New Roman" w:hAnsi="Times New Roman" w:cs="Times New Roman"/>
          <w:sz w:val="24"/>
          <w:szCs w:val="24"/>
        </w:rPr>
        <w:t>come</w:t>
      </w:r>
      <w:r w:rsidRPr="001D76FB">
        <w:rPr>
          <w:rFonts w:ascii="Times New Roman" w:hAnsi="Times New Roman" w:cs="Times New Roman"/>
          <w:sz w:val="24"/>
          <w:szCs w:val="24"/>
        </w:rPr>
        <w:t xml:space="preserve"> tubercolosi, ecc.</w:t>
      </w:r>
    </w:p>
    <w:p w:rsidR="00F60619" w:rsidRPr="001D76FB" w:rsidRDefault="00F60619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636DCE" w:rsidRPr="001D76FB" w:rsidRDefault="00D54A3C" w:rsidP="00EF2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1E63F0" w:rsidRPr="001D76FB" w:rsidRDefault="001E63F0" w:rsidP="001E63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Nel 2019 sono attese, in Italia, 42.500 nuove diagnosi di tumore del polmone (29.500 negli uomini e 13.000 nelle donne).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È la seconda neoplasia più frequente negli uomini (15%) e la terza nelle donne (12%). 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>Il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tumore del polmone è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negli uomini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 xml:space="preserve">, meno frequente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al Centro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 xml:space="preserve"> (</w:t>
      </w:r>
      <w:r w:rsidR="00605981" w:rsidRPr="001D76FB">
        <w:rPr>
          <w:rFonts w:ascii="Times New Roman" w:eastAsia="MinionPro-Regular" w:hAnsi="Times New Roman" w:cs="Times New Roman"/>
          <w:bCs/>
          <w:sz w:val="24"/>
          <w:szCs w:val="24"/>
        </w:rPr>
        <w:t>-7%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>)</w:t>
      </w:r>
      <w:r w:rsidR="00605981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e al Sud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 xml:space="preserve"> (</w:t>
      </w:r>
      <w:r w:rsidR="00605981" w:rsidRPr="001D76FB">
        <w:rPr>
          <w:rFonts w:ascii="Times New Roman" w:eastAsia="MinionPro-Regular" w:hAnsi="Times New Roman" w:cs="Times New Roman"/>
          <w:bCs/>
          <w:sz w:val="24"/>
          <w:szCs w:val="24"/>
        </w:rPr>
        <w:t>-3%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>)</w:t>
      </w:r>
      <w:r w:rsidR="00605981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>rispetto al Nord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; nelle donne è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 xml:space="preserve"> meno frequente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al Centro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 xml:space="preserve"> (</w:t>
      </w:r>
      <w:r w:rsidR="00605981" w:rsidRPr="001D76FB">
        <w:rPr>
          <w:rFonts w:ascii="Times New Roman" w:eastAsia="MinionPro-Regular" w:hAnsi="Times New Roman" w:cs="Times New Roman"/>
          <w:bCs/>
          <w:sz w:val="24"/>
          <w:szCs w:val="24"/>
        </w:rPr>
        <w:t>-13%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>)</w:t>
      </w:r>
      <w:r w:rsidR="00605981"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e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al Sud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 xml:space="preserve"> (</w:t>
      </w:r>
      <w:r w:rsidR="00605981" w:rsidRPr="001D76FB">
        <w:rPr>
          <w:rFonts w:ascii="Times New Roman" w:eastAsia="MinionPro-Regular" w:hAnsi="Times New Roman" w:cs="Times New Roman"/>
          <w:bCs/>
          <w:sz w:val="24"/>
          <w:szCs w:val="24"/>
        </w:rPr>
        <w:t>-37%</w:t>
      </w:r>
      <w:r w:rsidR="00605981">
        <w:rPr>
          <w:rFonts w:ascii="Times New Roman" w:eastAsia="MinionPro-Regular" w:hAnsi="Times New Roman" w:cs="Times New Roman"/>
          <w:bCs/>
          <w:sz w:val="24"/>
          <w:szCs w:val="24"/>
        </w:rPr>
        <w:t>) rispetto al Nord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.</w:t>
      </w:r>
    </w:p>
    <w:p w:rsidR="00EF28C1" w:rsidRPr="001D76FB" w:rsidRDefault="00EF28C1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D1EB9" w:rsidRPr="001D76FB" w:rsidRDefault="00DD1EB9" w:rsidP="00DD1E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lastRenderedPageBreak/>
        <w:t>Mortalità</w:t>
      </w:r>
    </w:p>
    <w:p w:rsidR="009D2EDE" w:rsidRPr="001D76FB" w:rsidRDefault="001C529E" w:rsidP="001C5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Nel 2016 i decessi per il tumore del polmone</w:t>
      </w:r>
      <w:r w:rsidR="008A73E1" w:rsidRPr="001D76FB">
        <w:rPr>
          <w:rFonts w:ascii="Times New Roman" w:eastAsia="MinionPro-Regular" w:hAnsi="Times New Roman" w:cs="Times New Roman"/>
          <w:b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in Italia</w:t>
      </w:r>
      <w:r w:rsidR="008A73E1" w:rsidRPr="001D76FB">
        <w:rPr>
          <w:rFonts w:ascii="Times New Roman" w:eastAsia="MinionPro-Regular" w:hAnsi="Times New Roman" w:cs="Times New Roman"/>
          <w:b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sono stati 33.838 (24.059 negli uomini e 9.779 nelle donne) (ISTAT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). Il tumore del polmone rappresenta la prima causa di morte (12%) di tutte le neoplasie nella popolazione maschile e femminile. La mortalità per tumore del polmone in Italia negli uomini è -7% al Centro e 1% al Sud e nelle donne è -15% al Centro e -31% al Sud.</w:t>
      </w:r>
    </w:p>
    <w:p w:rsidR="001C529E" w:rsidRPr="001D76FB" w:rsidRDefault="001C529E" w:rsidP="00314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314448" w:rsidRPr="001D76FB" w:rsidRDefault="00314448" w:rsidP="00314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0945AC" w:rsidRPr="001D76FB" w:rsidRDefault="000945AC" w:rsidP="00094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dei pazienti con tumore del polmone in Italia è pari al 16%.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Pur rimanendo nell’ambito di valori deludenti, presenta valori leggermente migliori tra i pazienti più giovani, passando da</w:t>
      </w:r>
      <w:r w:rsidR="006C5E6A" w:rsidRPr="001D76FB">
        <w:rPr>
          <w:rFonts w:ascii="Times New Roman" w:eastAsia="MinionPro-Regular" w:hAnsi="Times New Roman" w:cs="Times New Roman"/>
          <w:bCs/>
          <w:sz w:val="24"/>
          <w:szCs w:val="24"/>
        </w:rPr>
        <w:t>l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29,3% tra 15 e 44 anni a 8,1% tra i più anziani (75+).</w:t>
      </w:r>
    </w:p>
    <w:p w:rsidR="008A73E1" w:rsidRPr="001D76FB" w:rsidRDefault="008A73E1" w:rsidP="00314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6C5E6A" w:rsidRPr="001D76FB" w:rsidRDefault="00805C00" w:rsidP="00314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Prevalenza</w:t>
      </w:r>
    </w:p>
    <w:p w:rsidR="006C5E6A" w:rsidRPr="001D76FB" w:rsidRDefault="006C5E6A" w:rsidP="006C5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>In Italia sono 106.915 le persone con pregressa diagnosi di tumore del polmone (69.508 maschi e 37.407 femmine).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In considerazione della frequente diagnosi in stadio avanzato e della limitata efficacia dei trattamenti, il tumore del polmone rimane ancora oggi una neoplasia a prognosi particolarmente sfavorevole</w:t>
      </w:r>
      <w:r w:rsidR="00336BD7">
        <w:rPr>
          <w:rFonts w:ascii="Times New Roman" w:eastAsia="MinionPro-Regular" w:hAnsi="Times New Roman" w:cs="Times New Roman"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pertanto poco contribuisce, in percentuale, alla composizione dei casi prevalenti. Complessivamente il 38% dei casi prevalenti ha avuto una diagnosi di tumore da meno di 2 anni, il 20% tra 2 e 5 anni, il 17% tra 5 e 10 anni ed il 24% da oltre 10 anni. </w:t>
      </w:r>
    </w:p>
    <w:p w:rsidR="006C5E6A" w:rsidRPr="001D76FB" w:rsidRDefault="006C5E6A" w:rsidP="00314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161CB6" w:rsidRPr="001D76FB" w:rsidRDefault="00161CB6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805C00" w:rsidRPr="001D76FB" w:rsidRDefault="003074DE" w:rsidP="003074D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PROSTATA</w:t>
      </w:r>
    </w:p>
    <w:p w:rsidR="003074DE" w:rsidRPr="001D76FB" w:rsidRDefault="003074DE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9877A9" w:rsidRPr="001D76FB" w:rsidRDefault="009877A9" w:rsidP="009877A9">
      <w:pPr>
        <w:spacing w:after="0" w:line="240" w:lineRule="auto"/>
        <w:rPr>
          <w:rFonts w:ascii="Times New Roman" w:hAnsi="Times New Roman"/>
          <w:b/>
          <w:sz w:val="24"/>
        </w:rPr>
      </w:pPr>
      <w:r w:rsidRPr="001D76FB">
        <w:rPr>
          <w:rFonts w:ascii="Times New Roman" w:hAnsi="Times New Roman"/>
          <w:b/>
          <w:sz w:val="24"/>
        </w:rPr>
        <w:t>Fattori di rischio</w:t>
      </w:r>
    </w:p>
    <w:p w:rsidR="009877A9" w:rsidRPr="001D76FB" w:rsidRDefault="009877A9" w:rsidP="009877A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D76FB">
        <w:rPr>
          <w:rFonts w:ascii="Times New Roman" w:hAnsi="Times New Roman"/>
          <w:b/>
          <w:sz w:val="24"/>
          <w:szCs w:val="24"/>
        </w:rPr>
        <w:t xml:space="preserve">L’obesità e l’elevato consumo di carne e latticini, una dieta ricca di calcio </w:t>
      </w:r>
      <w:r w:rsidRPr="00100407">
        <w:rPr>
          <w:rFonts w:ascii="Times New Roman" w:hAnsi="Times New Roman"/>
          <w:bCs/>
          <w:sz w:val="24"/>
          <w:szCs w:val="24"/>
        </w:rPr>
        <w:t>(</w:t>
      </w:r>
      <w:r w:rsidRPr="001D76FB">
        <w:rPr>
          <w:rFonts w:ascii="Times New Roman" w:hAnsi="Times New Roman"/>
          <w:sz w:val="24"/>
          <w:szCs w:val="24"/>
        </w:rPr>
        <w:t>con conseguente elevata c</w:t>
      </w:r>
      <w:r w:rsidR="00CA20E7" w:rsidRPr="001D76FB">
        <w:rPr>
          <w:rFonts w:ascii="Times New Roman" w:hAnsi="Times New Roman"/>
          <w:sz w:val="24"/>
          <w:szCs w:val="24"/>
        </w:rPr>
        <w:t>oncentrazione di IGF-1 ematico).</w:t>
      </w:r>
    </w:p>
    <w:p w:rsidR="009877A9" w:rsidRPr="001D76FB" w:rsidRDefault="009877A9" w:rsidP="009877A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D76FB">
        <w:rPr>
          <w:rFonts w:ascii="Times New Roman" w:hAnsi="Times New Roman"/>
          <w:b/>
          <w:sz w:val="24"/>
          <w:szCs w:val="24"/>
        </w:rPr>
        <w:t>Elevati livelli di androgeni nel sangue</w:t>
      </w:r>
      <w:r w:rsidR="00CA20E7" w:rsidRPr="001D76FB">
        <w:rPr>
          <w:rFonts w:ascii="Times New Roman" w:hAnsi="Times New Roman"/>
          <w:b/>
          <w:sz w:val="24"/>
          <w:szCs w:val="24"/>
        </w:rPr>
        <w:t>.</w:t>
      </w:r>
      <w:r w:rsidRPr="001D76FB">
        <w:rPr>
          <w:rFonts w:ascii="Times New Roman" w:hAnsi="Times New Roman"/>
          <w:b/>
          <w:sz w:val="24"/>
          <w:szCs w:val="24"/>
        </w:rPr>
        <w:t xml:space="preserve"> </w:t>
      </w:r>
    </w:p>
    <w:p w:rsidR="009877A9" w:rsidRPr="001D76FB" w:rsidRDefault="009877A9" w:rsidP="009877A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76FB">
        <w:rPr>
          <w:rFonts w:ascii="Times New Roman" w:hAnsi="Times New Roman"/>
          <w:b/>
          <w:sz w:val="24"/>
          <w:szCs w:val="24"/>
        </w:rPr>
        <w:t>Fattori ereditari,</w:t>
      </w:r>
      <w:r w:rsidRPr="001D76FB">
        <w:rPr>
          <w:rFonts w:ascii="Times New Roman" w:hAnsi="Times New Roman"/>
          <w:sz w:val="24"/>
          <w:szCs w:val="24"/>
        </w:rPr>
        <w:t xml:space="preserve"> in una minoranza di casi (&lt;15%)</w:t>
      </w:r>
      <w:r w:rsidR="00CA20E7" w:rsidRPr="001D76FB">
        <w:rPr>
          <w:rFonts w:ascii="Times New Roman" w:hAnsi="Times New Roman"/>
          <w:sz w:val="24"/>
          <w:szCs w:val="24"/>
        </w:rPr>
        <w:t>.</w:t>
      </w:r>
    </w:p>
    <w:p w:rsidR="009877A9" w:rsidRPr="001D76FB" w:rsidRDefault="009877A9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BB6258" w:rsidRPr="001D76FB" w:rsidRDefault="009877A9" w:rsidP="00D87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BB6258" w:rsidRPr="001D76FB" w:rsidRDefault="00BB6258" w:rsidP="00BB62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>Sono 37.000 i nuovi casi di tumore della prostata attesi</w:t>
      </w:r>
      <w:r w:rsidR="00100407">
        <w:rPr>
          <w:rFonts w:ascii="Times New Roman" w:eastAsia="MinionPro-Regular" w:hAnsi="Times New Roman" w:cs="Times New Roman"/>
          <w:b/>
          <w:bCs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 nel 2019</w:t>
      </w:r>
      <w:r w:rsidR="00100407">
        <w:rPr>
          <w:rFonts w:ascii="Times New Roman" w:eastAsia="MinionPro-Regular" w:hAnsi="Times New Roman" w:cs="Times New Roman"/>
          <w:b/>
          <w:bCs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 in Italia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. Il tumore della prostata è il primo tumore più diagnosticato nella popolazione maschile (19%).</w:t>
      </w:r>
      <w:r w:rsidR="00404B58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605981">
        <w:rPr>
          <w:rFonts w:ascii="Times New Roman" w:eastAsia="MinionPro-Regular" w:hAnsi="Times New Roman" w:cs="Times New Roman"/>
          <w:sz w:val="24"/>
          <w:szCs w:val="24"/>
        </w:rPr>
        <w:t>L’incidenza del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tumore</w:t>
      </w:r>
      <w:r w:rsidR="00605981">
        <w:rPr>
          <w:rFonts w:ascii="Times New Roman" w:eastAsia="MinionPro-Regular" w:hAnsi="Times New Roman" w:cs="Times New Roman"/>
          <w:sz w:val="24"/>
          <w:szCs w:val="24"/>
        </w:rPr>
        <w:t xml:space="preserve"> della prostata è inferiore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è al Centro </w:t>
      </w:r>
      <w:r w:rsidR="00605981">
        <w:rPr>
          <w:rFonts w:ascii="Times New Roman" w:eastAsia="MinionPro-Regular" w:hAnsi="Times New Roman" w:cs="Times New Roman"/>
          <w:sz w:val="24"/>
          <w:szCs w:val="24"/>
        </w:rPr>
        <w:t>(</w:t>
      </w:r>
      <w:r w:rsidR="00605981" w:rsidRPr="001D76FB">
        <w:rPr>
          <w:rFonts w:ascii="Times New Roman" w:eastAsia="MinionPro-Regular" w:hAnsi="Times New Roman" w:cs="Times New Roman"/>
          <w:sz w:val="24"/>
          <w:szCs w:val="24"/>
        </w:rPr>
        <w:t>-5%</w:t>
      </w:r>
      <w:r w:rsidR="00605981">
        <w:rPr>
          <w:rFonts w:ascii="Times New Roman" w:eastAsia="MinionPro-Regular" w:hAnsi="Times New Roman" w:cs="Times New Roman"/>
          <w:sz w:val="24"/>
          <w:szCs w:val="24"/>
        </w:rPr>
        <w:t>)</w:t>
      </w:r>
      <w:r w:rsidR="00605981" w:rsidRPr="001D76FB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e al Sud </w:t>
      </w:r>
      <w:r w:rsidR="00605981">
        <w:rPr>
          <w:rFonts w:ascii="Times New Roman" w:eastAsia="MinionPro-Regular" w:hAnsi="Times New Roman" w:cs="Times New Roman"/>
          <w:sz w:val="24"/>
          <w:szCs w:val="24"/>
        </w:rPr>
        <w:t>(</w:t>
      </w:r>
      <w:r w:rsidR="00605981" w:rsidRPr="001D76FB">
        <w:rPr>
          <w:rFonts w:ascii="Times New Roman" w:eastAsia="MinionPro-Regular" w:hAnsi="Times New Roman" w:cs="Times New Roman"/>
          <w:sz w:val="24"/>
          <w:szCs w:val="24"/>
        </w:rPr>
        <w:t>-27%</w:t>
      </w:r>
      <w:r w:rsidR="00605981">
        <w:rPr>
          <w:rFonts w:ascii="Times New Roman" w:eastAsia="MinionPro-Regular" w:hAnsi="Times New Roman" w:cs="Times New Roman"/>
          <w:sz w:val="24"/>
          <w:szCs w:val="24"/>
        </w:rPr>
        <w:t>) rispetto al Nord.</w:t>
      </w:r>
    </w:p>
    <w:p w:rsidR="00314448" w:rsidRPr="001D76FB" w:rsidRDefault="00314448" w:rsidP="00D87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873A0" w:rsidRPr="001D76FB" w:rsidRDefault="00D873A0" w:rsidP="00D87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Mortalità</w:t>
      </w:r>
    </w:p>
    <w:p w:rsidR="00ED5517" w:rsidRPr="001D76FB" w:rsidRDefault="00ED5517" w:rsidP="00ED5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Nel 2016 i decessi per il tumore della prostata in Italia sono stati 7.540 (ISTAT).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Il tumore della prostata è al terzo posto come causa di morte nella popolazione maschile (8%).</w:t>
      </w:r>
    </w:p>
    <w:p w:rsidR="00995CAD" w:rsidRPr="001D76FB" w:rsidRDefault="00995CAD" w:rsidP="006F0C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6F0C79" w:rsidRPr="001D76FB" w:rsidRDefault="006F0C79" w:rsidP="006F0C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6F0C79" w:rsidRPr="001D76FB" w:rsidRDefault="004D7FB1" w:rsidP="004D7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degli uomini con tumore della prostata in Italia è pari al 92%.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Presenta valori elevati tra i pazienti più giovani, passando da un massimo del 96,4% tra 65 e 74 anni ad un minimo di 52,1% tra i più anziani (85+). La sopravvivenza a 10 anni degli uomini con tumore della prostata in Italia è pari a</w:t>
      </w:r>
      <w:r w:rsidR="00400949" w:rsidRPr="001D76FB">
        <w:rPr>
          <w:rFonts w:ascii="Times New Roman" w:eastAsia="MinionPro-Regular" w:hAnsi="Times New Roman" w:cs="Times New Roman"/>
          <w:bCs/>
          <w:sz w:val="24"/>
          <w:szCs w:val="24"/>
        </w:rPr>
        <w:t>l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90%.</w:t>
      </w:r>
    </w:p>
    <w:p w:rsidR="004D7FB1" w:rsidRPr="001D76FB" w:rsidRDefault="004D7FB1" w:rsidP="0071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6F0C79" w:rsidRPr="001D76FB" w:rsidRDefault="006F0C79" w:rsidP="006F0C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E529B5" w:rsidRPr="001D76FB" w:rsidRDefault="00400949" w:rsidP="00400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>In Italia sono circa 471.000 le persone con pregressa diagnosi di tumore della prostata,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pari al 30% dei casi prevalenti nei maschi. </w:t>
      </w:r>
    </w:p>
    <w:p w:rsidR="00E529B5" w:rsidRDefault="00E529B5" w:rsidP="006F0C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100407" w:rsidRDefault="00100407" w:rsidP="006F0C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100407" w:rsidRPr="001D76FB" w:rsidRDefault="00100407" w:rsidP="006F0C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7110EF" w:rsidRPr="001D76FB" w:rsidRDefault="007110EF" w:rsidP="00835E8F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VESCICA</w:t>
      </w:r>
    </w:p>
    <w:p w:rsidR="004C7CDC" w:rsidRPr="001D76FB" w:rsidRDefault="004C7CDC" w:rsidP="004C7CDC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4C7CDC" w:rsidRPr="001D76FB" w:rsidRDefault="004C7CDC" w:rsidP="004C7C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1D76FB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Fattori di rischio</w:t>
      </w:r>
    </w:p>
    <w:p w:rsidR="004C7CDC" w:rsidRPr="001D76FB" w:rsidRDefault="004C7CDC" w:rsidP="004C7CD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Style w:val="apple-converted-space"/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Al tabacco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sono attribuiti i 2/3 del rischio complessivo nei maschi e 1/3 nelle femmine; il rischio dei fumatori di contrarre questo tumore è da 4 a 5 volte quello dei non fumatori e aumenta con la durata e l’intensità dell’esposizione al fumo. Per contro, il rischio si riduce con la cessazione del fumo, tornando dopo circa 15 anni approssimativamente quello dei non fumatori</w:t>
      </w:r>
      <w:r w:rsidR="00D00E73" w:rsidRPr="001D76FB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4C7CDC" w:rsidRPr="001D76FB" w:rsidRDefault="004C7CDC" w:rsidP="004C7CD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Circa il 25% di questi tumori è attribuibile ad 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esposizioni lavorative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. È noto l’aumento di incidenza di carcinoma </w:t>
      </w:r>
      <w:proofErr w:type="spellStart"/>
      <w:r w:rsidRPr="001D76FB">
        <w:rPr>
          <w:rFonts w:ascii="Times New Roman" w:eastAsia="MinionPro-Regular" w:hAnsi="Times New Roman" w:cs="Times New Roman"/>
          <w:sz w:val="24"/>
          <w:szCs w:val="24"/>
        </w:rPr>
        <w:t>uroteliale</w:t>
      </w:r>
      <w:proofErr w:type="spellEnd"/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tra gli occupati nelle industrie dei coloranti derivati dall’anilina. Evidente anche il ruolo delle amine aromati</w:t>
      </w:r>
      <w:r w:rsidR="00D00E73" w:rsidRPr="001D76FB">
        <w:rPr>
          <w:rFonts w:ascii="Times New Roman" w:eastAsia="MinionPro-Regular" w:hAnsi="Times New Roman" w:cs="Times New Roman"/>
          <w:sz w:val="24"/>
          <w:szCs w:val="24"/>
        </w:rPr>
        <w:t>che (benzidina, 2-naftilamina).</w:t>
      </w:r>
    </w:p>
    <w:p w:rsidR="004C7CDC" w:rsidRPr="001D76FB" w:rsidRDefault="004C7CDC" w:rsidP="004C7CD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L’assunzione cronica di alcuni farmaci</w:t>
      </w:r>
      <w:r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può favorire l’insorgenza di questo tumore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: è noto il rischio derivante da assunzione di fenacetina, analgesico derivato dall’anilina, oggi sostituito dal paracetamolo, suo metabolita attivo e privo di tossicità renale</w:t>
      </w:r>
      <w:r w:rsidR="00D00E73" w:rsidRPr="001D76FB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4C7CDC" w:rsidRPr="001D76FB" w:rsidRDefault="004C7CDC" w:rsidP="004C7CD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Ulteriori fattori di rischio sono stati identificati nei 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composti arsenicali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>, inquinanti l’acqua potabile, classificati tra i carcinogeni di gruppo 1 dalla IARC nel 2004</w:t>
      </w:r>
      <w:r w:rsidR="00D00E73" w:rsidRPr="001D76FB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4C7CDC" w:rsidRPr="001D76FB" w:rsidRDefault="00D00E73" w:rsidP="004C7CDC">
      <w:pPr>
        <w:pStyle w:val="Paragrafoelenco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>Il</w:t>
      </w:r>
      <w:r w:rsidR="004C7CDC"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tumore delle vie urinarie non è</w:t>
      </w:r>
      <w:r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generalmente</w:t>
      </w:r>
      <w:r w:rsidR="004C7CDC"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considerato tra le neopla</w:t>
      </w:r>
      <w:r w:rsidR="001354EC"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sie a trasmissione familiare. È </w:t>
      </w:r>
      <w:r w:rsidR="004C7CDC"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stato tuttavia documentato l’aumento del rischio di carcinomi </w:t>
      </w:r>
      <w:proofErr w:type="spellStart"/>
      <w:r w:rsidR="004C7CDC"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>uroteliali</w:t>
      </w:r>
      <w:proofErr w:type="spellEnd"/>
      <w:r w:rsidR="004C7CDC"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specie a carico del tratto superiore (pelvi renale e uretere), in famiglie con carcinoma del colon-retto non </w:t>
      </w:r>
      <w:proofErr w:type="spellStart"/>
      <w:r w:rsidR="004C7CDC"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>poliposico</w:t>
      </w:r>
      <w:proofErr w:type="spellEnd"/>
      <w:r w:rsidR="004C7CDC"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ereditario (sindrome di Lynch)</w:t>
      </w:r>
      <w:r w:rsidRPr="001D76F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06E5C" w:rsidRPr="001D76FB" w:rsidRDefault="00606E5C" w:rsidP="004C7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606E5C" w:rsidRPr="001D76FB" w:rsidRDefault="00606E5C" w:rsidP="00606E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404B58" w:rsidRPr="001D76FB" w:rsidRDefault="00404B58" w:rsidP="00404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>Sono 29.700 i nuovi casi di tumore della vescica attesi</w:t>
      </w:r>
      <w:r w:rsidR="00100407">
        <w:rPr>
          <w:rFonts w:ascii="Times New Roman" w:eastAsia="MinionPro-Regular" w:hAnsi="Times New Roman" w:cs="Times New Roman"/>
          <w:b/>
          <w:sz w:val="24"/>
          <w:szCs w:val="24"/>
        </w:rPr>
        <w:t>,</w:t>
      </w:r>
      <w:r w:rsidR="00D212ED"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in Italia</w:t>
      </w:r>
      <w:r w:rsidR="00100407">
        <w:rPr>
          <w:rFonts w:ascii="Times New Roman" w:eastAsia="MinionPro-Regular" w:hAnsi="Times New Roman" w:cs="Times New Roman"/>
          <w:b/>
          <w:sz w:val="24"/>
          <w:szCs w:val="24"/>
        </w:rPr>
        <w:t>,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nel 2019 (24.000 negli uomini e 5.700 nelle donne).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 xml:space="preserve"> Il tumore della vescica rappresenta la quarta neoplasia più frequente negli uomini (12%) e la quinta nella popolazione totale (8%). </w:t>
      </w:r>
    </w:p>
    <w:p w:rsidR="00606E5C" w:rsidRPr="001D76FB" w:rsidRDefault="00606E5C" w:rsidP="00606E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556C13" w:rsidRPr="001D76FB" w:rsidRDefault="00556C13" w:rsidP="00556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404B58" w:rsidRPr="001D76FB" w:rsidRDefault="00D212ED" w:rsidP="00D2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Cs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Nel 2016 i decessi per tumore della vescica in Italia sono stati 6.230 </w:t>
      </w:r>
      <w:r w:rsidRPr="00100407">
        <w:rPr>
          <w:rFonts w:ascii="Times New Roman" w:eastAsia="MinionPro-Regular" w:hAnsi="Times New Roman" w:cs="Times New Roman"/>
          <w:bCs/>
          <w:sz w:val="24"/>
          <w:szCs w:val="24"/>
        </w:rPr>
        <w:t>(4.883 negli uomini e 1.347 nelle donne) (ISTAT).</w:t>
      </w: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</w:p>
    <w:p w:rsidR="00556C13" w:rsidRPr="001D76FB" w:rsidRDefault="00556C13" w:rsidP="00556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556C13" w:rsidRPr="001D76FB" w:rsidRDefault="00556C13" w:rsidP="00556C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D212ED" w:rsidRPr="001D76FB" w:rsidRDefault="00D212ED" w:rsidP="00D2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bCs/>
          <w:sz w:val="24"/>
          <w:szCs w:val="24"/>
        </w:rPr>
        <w:t>La sopravvivenza a 5 anni nei tumori della vescica in Italia è pari al 79%.</w:t>
      </w:r>
      <w:r w:rsidRPr="001D76FB">
        <w:rPr>
          <w:rFonts w:ascii="Times New Roman" w:eastAsia="MinionPro-Regular" w:hAnsi="Times New Roman" w:cs="Times New Roman"/>
          <w:sz w:val="24"/>
          <w:szCs w:val="24"/>
        </w:rPr>
        <w:t xml:space="preserve"> La sopravvivenza a 5 anni è pari a 96% nei giovani (15-44 anni), 89% per l’età 45-54 anni, 86% in età 55-64, 80% per l’età 65-74 anni, leggermente inferiore, 66%, per gli anziani (75+). Si evidenziano livelli leggermente inferiori nel Centro: Nord Italia (79-80%), Centro (77%) e Sud (79%).</w:t>
      </w:r>
    </w:p>
    <w:p w:rsidR="00350B46" w:rsidRPr="001D76FB" w:rsidRDefault="00350B46" w:rsidP="00556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350B46" w:rsidRPr="001D76FB" w:rsidRDefault="00350B46" w:rsidP="0035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6FB"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5076EA" w:rsidRPr="001D76FB" w:rsidRDefault="005076EA" w:rsidP="005076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D76FB">
        <w:rPr>
          <w:rFonts w:ascii="Times New Roman" w:eastAsia="MinionPro-Regular" w:hAnsi="Times New Roman" w:cs="Times New Roman"/>
          <w:b/>
          <w:sz w:val="24"/>
          <w:szCs w:val="24"/>
        </w:rPr>
        <w:t xml:space="preserve">In Italia sono circa 277.000 le persone con pregressa diagnosi di tumore della vescica, </w:t>
      </w:r>
      <w:r w:rsidRPr="001D76FB">
        <w:rPr>
          <w:rFonts w:ascii="Times New Roman" w:eastAsia="MinionPro-Regular" w:hAnsi="Times New Roman" w:cs="Times New Roman"/>
          <w:bCs/>
          <w:sz w:val="24"/>
          <w:szCs w:val="24"/>
        </w:rPr>
        <w:t>pari al 14% dei casi prevalenti negli uomini e al 3% nelle donne.</w:t>
      </w:r>
    </w:p>
    <w:p w:rsidR="005076EA" w:rsidRPr="001D76FB" w:rsidRDefault="005076EA" w:rsidP="0035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350B46" w:rsidRDefault="00350B46" w:rsidP="00F82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0"/>
          <w:szCs w:val="20"/>
        </w:rPr>
      </w:pPr>
    </w:p>
    <w:p w:rsidR="00F8241A" w:rsidRPr="00F8241A" w:rsidRDefault="00F8241A" w:rsidP="00F82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0"/>
          <w:szCs w:val="20"/>
        </w:rPr>
      </w:pPr>
    </w:p>
    <w:p w:rsidR="00F8241A" w:rsidRPr="00F8241A" w:rsidRDefault="00F8241A" w:rsidP="00F82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F8241A">
        <w:rPr>
          <w:rFonts w:ascii="Times New Roman" w:hAnsi="Times New Roman" w:cs="Times New Roman"/>
          <w:b/>
          <w:sz w:val="20"/>
          <w:szCs w:val="20"/>
          <w:u w:val="single"/>
        </w:rPr>
        <w:t>Fonti</w:t>
      </w:r>
    </w:p>
    <w:p w:rsidR="00F8241A" w:rsidRPr="00F8241A" w:rsidRDefault="00F8241A" w:rsidP="00F824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241A">
        <w:rPr>
          <w:rFonts w:ascii="Times New Roman" w:hAnsi="Times New Roman" w:cs="Times New Roman"/>
          <w:sz w:val="20"/>
          <w:szCs w:val="20"/>
        </w:rPr>
        <w:t>“I numeri del cancro in Italia 2019” (AIOM-AIRTUM-Fondazione AIOM-PASSI-SIAPEC-IAP)</w:t>
      </w:r>
    </w:p>
    <w:p w:rsidR="00F8241A" w:rsidRPr="00F8241A" w:rsidRDefault="00F8241A" w:rsidP="00F8241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8241A" w:rsidRPr="001D76FB" w:rsidRDefault="00F8241A" w:rsidP="0035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sectPr w:rsidR="00F8241A" w:rsidRPr="001D76FB" w:rsidSect="004C44FC">
      <w:headerReference w:type="first" r:id="rId7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5670" w:rsidRDefault="00E05670" w:rsidP="004C44FC">
      <w:pPr>
        <w:spacing w:after="0" w:line="240" w:lineRule="auto"/>
      </w:pPr>
      <w:r>
        <w:separator/>
      </w:r>
    </w:p>
  </w:endnote>
  <w:endnote w:type="continuationSeparator" w:id="0">
    <w:p w:rsidR="00E05670" w:rsidRDefault="00E05670" w:rsidP="004C4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5670" w:rsidRDefault="00E05670" w:rsidP="004C44FC">
      <w:pPr>
        <w:spacing w:after="0" w:line="240" w:lineRule="auto"/>
      </w:pPr>
      <w:r>
        <w:separator/>
      </w:r>
    </w:p>
  </w:footnote>
  <w:footnote w:type="continuationSeparator" w:id="0">
    <w:p w:rsidR="00E05670" w:rsidRDefault="00E05670" w:rsidP="004C4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126" w:rsidRDefault="00726348" w:rsidP="00807126">
    <w:pPr>
      <w:pStyle w:val="Intestazione"/>
      <w:jc w:val="center"/>
    </w:pPr>
    <w:r w:rsidRPr="003D44E9">
      <w:rPr>
        <w:noProof/>
      </w:rPr>
      <w:drawing>
        <wp:inline distT="0" distB="0" distL="0" distR="0">
          <wp:extent cx="2819400" cy="762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7615"/>
    <w:multiLevelType w:val="hybridMultilevel"/>
    <w:tmpl w:val="A7261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E5F89"/>
    <w:multiLevelType w:val="hybridMultilevel"/>
    <w:tmpl w:val="ADB8DCF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7D4A59"/>
    <w:multiLevelType w:val="hybridMultilevel"/>
    <w:tmpl w:val="00E82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D06756"/>
    <w:multiLevelType w:val="hybridMultilevel"/>
    <w:tmpl w:val="54C20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9685C"/>
    <w:multiLevelType w:val="hybridMultilevel"/>
    <w:tmpl w:val="B2388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46EA8"/>
    <w:multiLevelType w:val="hybridMultilevel"/>
    <w:tmpl w:val="3ABA4F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F0E73"/>
    <w:multiLevelType w:val="hybridMultilevel"/>
    <w:tmpl w:val="0DE80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5754B"/>
    <w:multiLevelType w:val="hybridMultilevel"/>
    <w:tmpl w:val="28CC6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27AB8"/>
    <w:multiLevelType w:val="hybridMultilevel"/>
    <w:tmpl w:val="72D83B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2A541B"/>
    <w:multiLevelType w:val="hybridMultilevel"/>
    <w:tmpl w:val="9692D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B7A06"/>
    <w:multiLevelType w:val="hybridMultilevel"/>
    <w:tmpl w:val="0B5E6B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4B5CDD"/>
    <w:multiLevelType w:val="multilevel"/>
    <w:tmpl w:val="9FB4607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3"/>
  </w:num>
  <w:num w:numId="5">
    <w:abstractNumId w:val="9"/>
  </w:num>
  <w:num w:numId="6">
    <w:abstractNumId w:val="3"/>
  </w:num>
  <w:num w:numId="7">
    <w:abstractNumId w:val="2"/>
  </w:num>
  <w:num w:numId="8">
    <w:abstractNumId w:val="4"/>
  </w:num>
  <w:num w:numId="9">
    <w:abstractNumId w:val="11"/>
  </w:num>
  <w:num w:numId="10">
    <w:abstractNumId w:val="5"/>
  </w:num>
  <w:num w:numId="11">
    <w:abstractNumId w:val="0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E09"/>
    <w:rsid w:val="00023A9A"/>
    <w:rsid w:val="000374E7"/>
    <w:rsid w:val="000822C4"/>
    <w:rsid w:val="00090880"/>
    <w:rsid w:val="000945AC"/>
    <w:rsid w:val="000B5BB1"/>
    <w:rsid w:val="000D0588"/>
    <w:rsid w:val="000F1C52"/>
    <w:rsid w:val="00100407"/>
    <w:rsid w:val="0010111A"/>
    <w:rsid w:val="00115B7F"/>
    <w:rsid w:val="001263CF"/>
    <w:rsid w:val="001306CD"/>
    <w:rsid w:val="001330E2"/>
    <w:rsid w:val="001354EC"/>
    <w:rsid w:val="00161CB6"/>
    <w:rsid w:val="0016767D"/>
    <w:rsid w:val="00190348"/>
    <w:rsid w:val="001A1765"/>
    <w:rsid w:val="001A6700"/>
    <w:rsid w:val="001C529E"/>
    <w:rsid w:val="001D1A13"/>
    <w:rsid w:val="001D76FB"/>
    <w:rsid w:val="001E63F0"/>
    <w:rsid w:val="002137E5"/>
    <w:rsid w:val="0023074C"/>
    <w:rsid w:val="002376D6"/>
    <w:rsid w:val="00281DD0"/>
    <w:rsid w:val="002A2F35"/>
    <w:rsid w:val="002A5F3D"/>
    <w:rsid w:val="002A6B4D"/>
    <w:rsid w:val="002C5D03"/>
    <w:rsid w:val="002F67F9"/>
    <w:rsid w:val="00304475"/>
    <w:rsid w:val="003074DE"/>
    <w:rsid w:val="00314448"/>
    <w:rsid w:val="00336BD7"/>
    <w:rsid w:val="00345BBE"/>
    <w:rsid w:val="00350B46"/>
    <w:rsid w:val="003537CE"/>
    <w:rsid w:val="00364300"/>
    <w:rsid w:val="00374A69"/>
    <w:rsid w:val="00375257"/>
    <w:rsid w:val="003D57F1"/>
    <w:rsid w:val="00400949"/>
    <w:rsid w:val="00401820"/>
    <w:rsid w:val="00404B58"/>
    <w:rsid w:val="00415452"/>
    <w:rsid w:val="00432F74"/>
    <w:rsid w:val="0044130E"/>
    <w:rsid w:val="004625CF"/>
    <w:rsid w:val="00467B2E"/>
    <w:rsid w:val="00476352"/>
    <w:rsid w:val="00483950"/>
    <w:rsid w:val="004B78F3"/>
    <w:rsid w:val="004C44FC"/>
    <w:rsid w:val="004C7CDC"/>
    <w:rsid w:val="004D449B"/>
    <w:rsid w:val="004D5D5E"/>
    <w:rsid w:val="004D7FB1"/>
    <w:rsid w:val="004E7806"/>
    <w:rsid w:val="005076EA"/>
    <w:rsid w:val="00507749"/>
    <w:rsid w:val="0053405E"/>
    <w:rsid w:val="00556C13"/>
    <w:rsid w:val="00580EA9"/>
    <w:rsid w:val="00581DBD"/>
    <w:rsid w:val="00591DAF"/>
    <w:rsid w:val="005A2811"/>
    <w:rsid w:val="005B5FDD"/>
    <w:rsid w:val="005B676F"/>
    <w:rsid w:val="005F2F2C"/>
    <w:rsid w:val="00605981"/>
    <w:rsid w:val="00606E5C"/>
    <w:rsid w:val="00620E5F"/>
    <w:rsid w:val="00636DCE"/>
    <w:rsid w:val="006534EB"/>
    <w:rsid w:val="006753EB"/>
    <w:rsid w:val="006A6F5A"/>
    <w:rsid w:val="006C219F"/>
    <w:rsid w:val="006C5E6A"/>
    <w:rsid w:val="006E6E62"/>
    <w:rsid w:val="006F0C79"/>
    <w:rsid w:val="006F1AE0"/>
    <w:rsid w:val="006F5514"/>
    <w:rsid w:val="00702F93"/>
    <w:rsid w:val="007110EF"/>
    <w:rsid w:val="00711F69"/>
    <w:rsid w:val="00726348"/>
    <w:rsid w:val="007420EA"/>
    <w:rsid w:val="00743BBB"/>
    <w:rsid w:val="007A29A5"/>
    <w:rsid w:val="007A7020"/>
    <w:rsid w:val="007E6735"/>
    <w:rsid w:val="00805C00"/>
    <w:rsid w:val="00807126"/>
    <w:rsid w:val="0081190E"/>
    <w:rsid w:val="00835E8F"/>
    <w:rsid w:val="008516A7"/>
    <w:rsid w:val="00856508"/>
    <w:rsid w:val="00876632"/>
    <w:rsid w:val="00877B26"/>
    <w:rsid w:val="008A249F"/>
    <w:rsid w:val="008A3DBD"/>
    <w:rsid w:val="008A73E1"/>
    <w:rsid w:val="008A7EC1"/>
    <w:rsid w:val="008C4605"/>
    <w:rsid w:val="008F0E7B"/>
    <w:rsid w:val="008F22EF"/>
    <w:rsid w:val="009877A9"/>
    <w:rsid w:val="00994C98"/>
    <w:rsid w:val="00995CAD"/>
    <w:rsid w:val="009B3634"/>
    <w:rsid w:val="009D2EDE"/>
    <w:rsid w:val="00A656FD"/>
    <w:rsid w:val="00AA0E46"/>
    <w:rsid w:val="00AA4C78"/>
    <w:rsid w:val="00AB1DFD"/>
    <w:rsid w:val="00AC5CF4"/>
    <w:rsid w:val="00AD020D"/>
    <w:rsid w:val="00AD37E1"/>
    <w:rsid w:val="00B30DAF"/>
    <w:rsid w:val="00B32E09"/>
    <w:rsid w:val="00B47364"/>
    <w:rsid w:val="00BA6C5F"/>
    <w:rsid w:val="00BB45F0"/>
    <w:rsid w:val="00BB6258"/>
    <w:rsid w:val="00C10A18"/>
    <w:rsid w:val="00C1237A"/>
    <w:rsid w:val="00C23133"/>
    <w:rsid w:val="00C4182E"/>
    <w:rsid w:val="00C62BB2"/>
    <w:rsid w:val="00CA20E7"/>
    <w:rsid w:val="00CA719A"/>
    <w:rsid w:val="00CF0866"/>
    <w:rsid w:val="00CF7570"/>
    <w:rsid w:val="00D00E73"/>
    <w:rsid w:val="00D0217B"/>
    <w:rsid w:val="00D2129C"/>
    <w:rsid w:val="00D212ED"/>
    <w:rsid w:val="00D21CC9"/>
    <w:rsid w:val="00D471D1"/>
    <w:rsid w:val="00D54A3C"/>
    <w:rsid w:val="00D62D29"/>
    <w:rsid w:val="00D873A0"/>
    <w:rsid w:val="00DB3793"/>
    <w:rsid w:val="00DB7A74"/>
    <w:rsid w:val="00DC4B49"/>
    <w:rsid w:val="00DD1075"/>
    <w:rsid w:val="00DD1EB9"/>
    <w:rsid w:val="00DF16D4"/>
    <w:rsid w:val="00DF1D90"/>
    <w:rsid w:val="00E01CEC"/>
    <w:rsid w:val="00E05670"/>
    <w:rsid w:val="00E23A3D"/>
    <w:rsid w:val="00E34BED"/>
    <w:rsid w:val="00E443FE"/>
    <w:rsid w:val="00E529B5"/>
    <w:rsid w:val="00E63E1E"/>
    <w:rsid w:val="00E83174"/>
    <w:rsid w:val="00E855BB"/>
    <w:rsid w:val="00EB700E"/>
    <w:rsid w:val="00ED5517"/>
    <w:rsid w:val="00EF28C1"/>
    <w:rsid w:val="00EF6D4C"/>
    <w:rsid w:val="00EF7EC3"/>
    <w:rsid w:val="00F37DE9"/>
    <w:rsid w:val="00F41ADC"/>
    <w:rsid w:val="00F60619"/>
    <w:rsid w:val="00F70C74"/>
    <w:rsid w:val="00F8241A"/>
    <w:rsid w:val="00F964DF"/>
    <w:rsid w:val="00FB32C7"/>
    <w:rsid w:val="00FB718E"/>
    <w:rsid w:val="00FD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7FB6C-1959-4C42-8296-BC51CC06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5F3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C44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4FC"/>
  </w:style>
  <w:style w:type="paragraph" w:styleId="Pidipagina">
    <w:name w:val="footer"/>
    <w:basedOn w:val="Normale"/>
    <w:link w:val="PidipaginaCarattere"/>
    <w:uiPriority w:val="99"/>
    <w:unhideWhenUsed/>
    <w:rsid w:val="004C44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4F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4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44F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FB718E"/>
  </w:style>
  <w:style w:type="character" w:styleId="Enfasigrassetto">
    <w:name w:val="Strong"/>
    <w:basedOn w:val="Carpredefinitoparagrafo"/>
    <w:uiPriority w:val="22"/>
    <w:qFormat/>
    <w:rsid w:val="00FB71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5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 Cabra - Intermedia</cp:lastModifiedBy>
  <cp:revision>146</cp:revision>
  <dcterms:created xsi:type="dcterms:W3CDTF">2017-09-13T10:56:00Z</dcterms:created>
  <dcterms:modified xsi:type="dcterms:W3CDTF">2019-12-03T10:10:00Z</dcterms:modified>
</cp:coreProperties>
</file>