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A11" w:rsidRDefault="007B1A11" w:rsidP="00591593">
      <w:pPr>
        <w:shd w:val="clear" w:color="auto" w:fill="FFFFFF"/>
        <w:spacing w:after="0" w:line="240" w:lineRule="auto"/>
        <w:jc w:val="center"/>
        <w:textAlignment w:val="center"/>
        <w:rPr>
          <w:rFonts w:ascii="Times New Roman" w:eastAsia="Times New Roman" w:hAnsi="Times New Roman" w:cs="Times New Roman"/>
          <w:b/>
          <w:bCs/>
          <w:caps/>
          <w:sz w:val="28"/>
          <w:szCs w:val="28"/>
          <w:bdr w:val="none" w:sz="0" w:space="0" w:color="auto" w:frame="1"/>
          <w:lang w:eastAsia="it-IT"/>
        </w:rPr>
      </w:pPr>
    </w:p>
    <w:p w:rsidR="00C76291" w:rsidRPr="00C76291" w:rsidRDefault="00C76291" w:rsidP="00591593">
      <w:pPr>
        <w:shd w:val="clear" w:color="auto" w:fill="FFFFFF"/>
        <w:spacing w:after="0" w:line="240" w:lineRule="auto"/>
        <w:jc w:val="center"/>
        <w:textAlignment w:val="center"/>
        <w:rPr>
          <w:rFonts w:ascii="Times New Roman" w:eastAsia="Times New Roman" w:hAnsi="Times New Roman" w:cs="Times New Roman"/>
          <w:caps/>
          <w:sz w:val="28"/>
          <w:szCs w:val="28"/>
          <w:lang w:eastAsia="it-IT"/>
        </w:rPr>
      </w:pPr>
      <w:r w:rsidRPr="00C76291">
        <w:rPr>
          <w:rFonts w:ascii="Times New Roman" w:eastAsia="Times New Roman" w:hAnsi="Times New Roman" w:cs="Times New Roman"/>
          <w:b/>
          <w:bCs/>
          <w:caps/>
          <w:sz w:val="28"/>
          <w:szCs w:val="28"/>
          <w:bdr w:val="none" w:sz="0" w:space="0" w:color="auto" w:frame="1"/>
          <w:lang w:eastAsia="it-IT"/>
        </w:rPr>
        <w:t>I principali progetti della SIMG</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 </w:t>
      </w:r>
    </w:p>
    <w:p w:rsidR="00591593" w:rsidRDefault="00591593" w:rsidP="00591593">
      <w:pPr>
        <w:shd w:val="clear" w:color="auto" w:fill="FFFFFF"/>
        <w:spacing w:after="0" w:line="240" w:lineRule="auto"/>
        <w:jc w:val="both"/>
        <w:textAlignment w:val="center"/>
        <w:rPr>
          <w:rFonts w:ascii="Times New Roman" w:eastAsia="Times New Roman" w:hAnsi="Times New Roman" w:cs="Times New Roman"/>
          <w:b/>
          <w:bCs/>
          <w:caps/>
          <w:sz w:val="24"/>
          <w:szCs w:val="24"/>
          <w:bdr w:val="none" w:sz="0" w:space="0" w:color="auto" w:frame="1"/>
          <w:lang w:eastAsia="it-IT"/>
        </w:rPr>
      </w:pP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b/>
          <w:bCs/>
          <w:caps/>
          <w:sz w:val="24"/>
          <w:szCs w:val="24"/>
          <w:bdr w:val="none" w:sz="0" w:space="0" w:color="auto" w:frame="1"/>
          <w:lang w:eastAsia="it-IT"/>
        </w:rPr>
        <w:t>HEALTH SEARCH</w:t>
      </w:r>
      <w:r w:rsidRPr="00C76291">
        <w:rPr>
          <w:rFonts w:ascii="Times New Roman" w:eastAsia="Times New Roman" w:hAnsi="Times New Roman" w:cs="Times New Roman"/>
          <w:b/>
          <w:bCs/>
          <w:i/>
          <w:iCs/>
          <w:sz w:val="24"/>
          <w:szCs w:val="24"/>
          <w:bdr w:val="none" w:sz="0" w:space="0" w:color="auto" w:frame="1"/>
          <w:lang w:eastAsia="it-IT"/>
        </w:rPr>
        <w:t> </w:t>
      </w:r>
      <w:r w:rsidRPr="00C76291">
        <w:rPr>
          <w:rFonts w:ascii="Times New Roman" w:eastAsia="Times New Roman" w:hAnsi="Times New Roman" w:cs="Times New Roman"/>
          <w:b/>
          <w:bCs/>
          <w:sz w:val="24"/>
          <w:szCs w:val="24"/>
          <w:bdr w:val="none" w:sz="0" w:space="0" w:color="auto" w:frame="1"/>
          <w:lang w:eastAsia="it-IT"/>
        </w:rPr>
        <w:t> </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proofErr w:type="spellStart"/>
      <w:r w:rsidRPr="00C76291">
        <w:rPr>
          <w:rFonts w:ascii="Times New Roman" w:eastAsia="Times New Roman" w:hAnsi="Times New Roman" w:cs="Times New Roman"/>
          <w:sz w:val="24"/>
          <w:szCs w:val="24"/>
          <w:bdr w:val="none" w:sz="0" w:space="0" w:color="auto" w:frame="1"/>
          <w:lang w:eastAsia="it-IT"/>
        </w:rPr>
        <w:t>Health</w:t>
      </w:r>
      <w:proofErr w:type="spellEnd"/>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Search</w:t>
      </w:r>
      <w:proofErr w:type="spellEnd"/>
      <w:r w:rsidRPr="00C76291">
        <w:rPr>
          <w:rFonts w:ascii="Times New Roman" w:eastAsia="Times New Roman" w:hAnsi="Times New Roman" w:cs="Times New Roman"/>
          <w:sz w:val="24"/>
          <w:szCs w:val="24"/>
          <w:bdr w:val="none" w:sz="0" w:space="0" w:color="auto" w:frame="1"/>
          <w:lang w:eastAsia="it-IT"/>
        </w:rPr>
        <w:t>-CSD LPD non è soltanto il database della Medicina Generale Italiana</w:t>
      </w:r>
      <w:r w:rsidR="00C631D2">
        <w:rPr>
          <w:rFonts w:ascii="Times New Roman" w:eastAsia="Times New Roman" w:hAnsi="Times New Roman" w:cs="Times New Roman"/>
          <w:sz w:val="24"/>
          <w:szCs w:val="24"/>
          <w:bdr w:val="none" w:sz="0" w:space="0" w:color="auto" w:frame="1"/>
          <w:lang w:eastAsia="it-IT"/>
        </w:rPr>
        <w:t>, ma una struttura permanente e</w:t>
      </w:r>
      <w:r w:rsidRPr="00C76291">
        <w:rPr>
          <w:rFonts w:ascii="Times New Roman" w:eastAsia="Times New Roman" w:hAnsi="Times New Roman" w:cs="Times New Roman"/>
          <w:sz w:val="24"/>
          <w:szCs w:val="24"/>
          <w:bdr w:val="none" w:sz="0" w:space="0" w:color="auto" w:frame="1"/>
          <w:lang w:eastAsia="it-IT"/>
        </w:rPr>
        <w:t xml:space="preserve"> organizzata che, in piena armonia e sintonia con la</w:t>
      </w:r>
      <w:r w:rsidR="00C631D2">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i/>
          <w:iCs/>
          <w:sz w:val="24"/>
          <w:szCs w:val="24"/>
          <w:bdr w:val="none" w:sz="0" w:space="0" w:color="auto" w:frame="1"/>
          <w:lang w:eastAsia="it-IT"/>
        </w:rPr>
        <w:t>mission</w:t>
      </w:r>
      <w:proofErr w:type="spellEnd"/>
      <w:r w:rsidR="00C631D2">
        <w:rPr>
          <w:rFonts w:ascii="Times New Roman" w:eastAsia="Times New Roman" w:hAnsi="Times New Roman" w:cs="Times New Roman"/>
          <w:sz w:val="24"/>
          <w:szCs w:val="24"/>
          <w:bdr w:val="none" w:sz="0" w:space="0" w:color="auto" w:frame="1"/>
          <w:lang w:eastAsia="it-IT"/>
        </w:rPr>
        <w:t xml:space="preserve"> </w:t>
      </w:r>
      <w:r w:rsidRPr="00C76291">
        <w:rPr>
          <w:rFonts w:ascii="Times New Roman" w:eastAsia="Times New Roman" w:hAnsi="Times New Roman" w:cs="Times New Roman"/>
          <w:sz w:val="24"/>
          <w:szCs w:val="24"/>
          <w:bdr w:val="none" w:sz="0" w:space="0" w:color="auto" w:frame="1"/>
          <w:lang w:eastAsia="it-IT"/>
        </w:rPr>
        <w:t>e la </w:t>
      </w:r>
      <w:proofErr w:type="spellStart"/>
      <w:r w:rsidRPr="00C76291">
        <w:rPr>
          <w:rFonts w:ascii="Times New Roman" w:eastAsia="Times New Roman" w:hAnsi="Times New Roman" w:cs="Times New Roman"/>
          <w:i/>
          <w:iCs/>
          <w:sz w:val="24"/>
          <w:szCs w:val="24"/>
          <w:bdr w:val="none" w:sz="0" w:space="0" w:color="auto" w:frame="1"/>
          <w:lang w:eastAsia="it-IT"/>
        </w:rPr>
        <w:t>vision</w:t>
      </w:r>
      <w:proofErr w:type="spellEnd"/>
      <w:r w:rsidRPr="00C76291">
        <w:rPr>
          <w:rFonts w:ascii="Times New Roman" w:eastAsia="Times New Roman" w:hAnsi="Times New Roman" w:cs="Times New Roman"/>
          <w:sz w:val="24"/>
          <w:szCs w:val="24"/>
          <w:bdr w:val="none" w:sz="0" w:space="0" w:color="auto" w:frame="1"/>
          <w:lang w:eastAsia="it-IT"/>
        </w:rPr>
        <w:t> delineate dalla Società Italiana di Medicina Generale (SIMG), rappresenta lo strumento più importante di cui la Società si è dotata per svolgere le proprie attività di ricerca e produzione di informazioni rilevanti sullo stato di salute della popolazione e dei processi di cura.</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proofErr w:type="spellStart"/>
      <w:r w:rsidRPr="00C76291">
        <w:rPr>
          <w:rFonts w:ascii="Times New Roman" w:eastAsia="Times New Roman" w:hAnsi="Times New Roman" w:cs="Times New Roman"/>
          <w:sz w:val="24"/>
          <w:szCs w:val="24"/>
          <w:bdr w:val="none" w:sz="0" w:space="0" w:color="auto" w:frame="1"/>
          <w:lang w:eastAsia="it-IT"/>
        </w:rPr>
        <w:t>Health</w:t>
      </w:r>
      <w:proofErr w:type="spellEnd"/>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Search</w:t>
      </w:r>
      <w:proofErr w:type="spellEnd"/>
      <w:r w:rsidRPr="00C76291">
        <w:rPr>
          <w:rFonts w:ascii="Times New Roman" w:eastAsia="Times New Roman" w:hAnsi="Times New Roman" w:cs="Times New Roman"/>
          <w:sz w:val="24"/>
          <w:szCs w:val="24"/>
          <w:bdr w:val="none" w:sz="0" w:space="0" w:color="auto" w:frame="1"/>
          <w:lang w:eastAsia="it-IT"/>
        </w:rPr>
        <w:t xml:space="preserve"> nasce nel 1998 come unità di ricerca della SIMG. Esaurita la fase di sperimentazione e di avvio del progetto, </w:t>
      </w:r>
      <w:proofErr w:type="spellStart"/>
      <w:r w:rsidRPr="00C76291">
        <w:rPr>
          <w:rFonts w:ascii="Times New Roman" w:eastAsia="Times New Roman" w:hAnsi="Times New Roman" w:cs="Times New Roman"/>
          <w:sz w:val="24"/>
          <w:szCs w:val="24"/>
          <w:bdr w:val="none" w:sz="0" w:space="0" w:color="auto" w:frame="1"/>
          <w:lang w:eastAsia="it-IT"/>
        </w:rPr>
        <w:t>Health</w:t>
      </w:r>
      <w:proofErr w:type="spellEnd"/>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Search</w:t>
      </w:r>
      <w:proofErr w:type="spellEnd"/>
      <w:r w:rsidRPr="00C76291">
        <w:rPr>
          <w:rFonts w:ascii="Times New Roman" w:eastAsia="Times New Roman" w:hAnsi="Times New Roman" w:cs="Times New Roman"/>
          <w:sz w:val="24"/>
          <w:szCs w:val="24"/>
          <w:bdr w:val="none" w:sz="0" w:space="0" w:color="auto" w:frame="1"/>
          <w:lang w:eastAsia="it-IT"/>
        </w:rPr>
        <w:t xml:space="preserve"> ha potuto proseguire la propria attività grazie a nuovi partner, incontrati nel suo percorso: dal 2004 infatti la raccolta dei dati e la gestione del Network di ricercatori avviene a cura di CSD (</w:t>
      </w:r>
      <w:proofErr w:type="spellStart"/>
      <w:r w:rsidRPr="00C76291">
        <w:rPr>
          <w:rFonts w:ascii="Times New Roman" w:eastAsia="Times New Roman" w:hAnsi="Times New Roman" w:cs="Times New Roman"/>
          <w:sz w:val="24"/>
          <w:szCs w:val="24"/>
          <w:bdr w:val="none" w:sz="0" w:space="0" w:color="auto" w:frame="1"/>
          <w:lang w:eastAsia="it-IT"/>
        </w:rPr>
        <w:t>Cegedim</w:t>
      </w:r>
      <w:proofErr w:type="spellEnd"/>
      <w:r w:rsidRPr="00C76291">
        <w:rPr>
          <w:rFonts w:ascii="Times New Roman" w:eastAsia="Times New Roman" w:hAnsi="Times New Roman" w:cs="Times New Roman"/>
          <w:sz w:val="24"/>
          <w:szCs w:val="24"/>
          <w:bdr w:val="none" w:sz="0" w:space="0" w:color="auto" w:frame="1"/>
          <w:lang w:eastAsia="it-IT"/>
        </w:rPr>
        <w:t xml:space="preserve"> Strategic Data), grazie alla partnership che SIMG ha saputo realizzare con CEGEDIM, una delle principali aziende al mondo nel settore dell’analisi e della produzione di dati scientifici. Oggi il database </w:t>
      </w:r>
      <w:proofErr w:type="spellStart"/>
      <w:r w:rsidRPr="00C76291">
        <w:rPr>
          <w:rFonts w:ascii="Times New Roman" w:eastAsia="Times New Roman" w:hAnsi="Times New Roman" w:cs="Times New Roman"/>
          <w:sz w:val="24"/>
          <w:szCs w:val="24"/>
          <w:bdr w:val="none" w:sz="0" w:space="0" w:color="auto" w:frame="1"/>
          <w:lang w:eastAsia="it-IT"/>
        </w:rPr>
        <w:t>Health</w:t>
      </w:r>
      <w:proofErr w:type="spellEnd"/>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Search</w:t>
      </w:r>
      <w:proofErr w:type="spellEnd"/>
      <w:r w:rsidRPr="00C76291">
        <w:rPr>
          <w:rFonts w:ascii="Times New Roman" w:eastAsia="Times New Roman" w:hAnsi="Times New Roman" w:cs="Times New Roman"/>
          <w:sz w:val="24"/>
          <w:szCs w:val="24"/>
          <w:bdr w:val="none" w:sz="0" w:space="0" w:color="auto" w:frame="1"/>
          <w:lang w:eastAsia="it-IT"/>
        </w:rPr>
        <w:t>-CSD LPD raccoglie i dati generati dall’attività routinaria di più di 900 medici di medicina generale (MMG) ricercatori che impiegano per la registrazione e la gestione dei dati clinici un personal computer con un software dedicato (</w:t>
      </w:r>
      <w:proofErr w:type="spellStart"/>
      <w:r w:rsidRPr="00C76291">
        <w:rPr>
          <w:rFonts w:ascii="Times New Roman" w:eastAsia="Times New Roman" w:hAnsi="Times New Roman" w:cs="Times New Roman"/>
          <w:sz w:val="24"/>
          <w:szCs w:val="24"/>
          <w:bdr w:val="none" w:sz="0" w:space="0" w:color="auto" w:frame="1"/>
          <w:lang w:eastAsia="it-IT"/>
        </w:rPr>
        <w:t>Millewin</w:t>
      </w:r>
      <w:proofErr w:type="spellEnd"/>
      <w:r w:rsidRPr="00C76291">
        <w:rPr>
          <w:rFonts w:ascii="Times New Roman" w:eastAsia="Times New Roman" w:hAnsi="Times New Roman" w:cs="Times New Roman"/>
          <w:sz w:val="24"/>
          <w:szCs w:val="24"/>
          <w:bdr w:val="none" w:sz="0" w:space="0" w:color="auto" w:frame="1"/>
          <w:lang w:eastAsia="it-IT"/>
        </w:rPr>
        <w:t>©, il software di gestione ambulatoriale per il Medico di Medicina generale più utilizzato in Italia).</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 xml:space="preserve">In virtù dei criteri di selezione dei medici ricercatori di </w:t>
      </w:r>
      <w:proofErr w:type="spellStart"/>
      <w:r w:rsidRPr="00C76291">
        <w:rPr>
          <w:rFonts w:ascii="Times New Roman" w:eastAsia="Times New Roman" w:hAnsi="Times New Roman" w:cs="Times New Roman"/>
          <w:sz w:val="24"/>
          <w:szCs w:val="24"/>
          <w:bdr w:val="none" w:sz="0" w:space="0" w:color="auto" w:frame="1"/>
          <w:lang w:eastAsia="it-IT"/>
        </w:rPr>
        <w:t>Health</w:t>
      </w:r>
      <w:proofErr w:type="spellEnd"/>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Search</w:t>
      </w:r>
      <w:proofErr w:type="spellEnd"/>
      <w:r w:rsidRPr="00C76291">
        <w:rPr>
          <w:rFonts w:ascii="Times New Roman" w:eastAsia="Times New Roman" w:hAnsi="Times New Roman" w:cs="Times New Roman"/>
          <w:sz w:val="24"/>
          <w:szCs w:val="24"/>
          <w:bdr w:val="none" w:sz="0" w:space="0" w:color="auto" w:frame="1"/>
          <w:lang w:eastAsia="it-IT"/>
        </w:rPr>
        <w:t xml:space="preserve">-CSD LPD, la popolazione rappresentata nel database ha una distribuzione per sesso e fasce di età sostanzialmente sovrapponibile a quella della popolazione generale italiana in età adulta, come risulta dal confronto con i dati ISTAT. </w:t>
      </w:r>
      <w:proofErr w:type="spellStart"/>
      <w:r w:rsidRPr="00C76291">
        <w:rPr>
          <w:rFonts w:ascii="Times New Roman" w:eastAsia="Times New Roman" w:hAnsi="Times New Roman" w:cs="Times New Roman"/>
          <w:sz w:val="24"/>
          <w:szCs w:val="24"/>
          <w:bdr w:val="none" w:sz="0" w:space="0" w:color="auto" w:frame="1"/>
          <w:lang w:eastAsia="it-IT"/>
        </w:rPr>
        <w:t>Health</w:t>
      </w:r>
      <w:proofErr w:type="spellEnd"/>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Search</w:t>
      </w:r>
      <w:proofErr w:type="spellEnd"/>
      <w:r w:rsidRPr="00C76291">
        <w:rPr>
          <w:rFonts w:ascii="Times New Roman" w:eastAsia="Times New Roman" w:hAnsi="Times New Roman" w:cs="Times New Roman"/>
          <w:sz w:val="24"/>
          <w:szCs w:val="24"/>
          <w:bdr w:val="none" w:sz="0" w:space="0" w:color="auto" w:frame="1"/>
          <w:lang w:eastAsia="it-IT"/>
        </w:rPr>
        <w:t xml:space="preserve">-CSD LPD ha saputo realizzare in pochi anni un archivio di dati attendibili ed originali. I risultati di numerose ricerche sono già stati pubblicati su alcune riviste internazionali prestigiose; numerosi progetti sono attualmente in corso, altri in fase avanzata di progettazione. La collaborazione più prestigiosa è certamente quella che ha portato </w:t>
      </w:r>
      <w:proofErr w:type="spellStart"/>
      <w:r w:rsidRPr="00C76291">
        <w:rPr>
          <w:rFonts w:ascii="Times New Roman" w:eastAsia="Times New Roman" w:hAnsi="Times New Roman" w:cs="Times New Roman"/>
          <w:sz w:val="24"/>
          <w:szCs w:val="24"/>
          <w:bdr w:val="none" w:sz="0" w:space="0" w:color="auto" w:frame="1"/>
          <w:lang w:eastAsia="it-IT"/>
        </w:rPr>
        <w:t>Health</w:t>
      </w:r>
      <w:proofErr w:type="spellEnd"/>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Search</w:t>
      </w:r>
      <w:proofErr w:type="spellEnd"/>
      <w:r w:rsidRPr="00C76291">
        <w:rPr>
          <w:rFonts w:ascii="Times New Roman" w:eastAsia="Times New Roman" w:hAnsi="Times New Roman" w:cs="Times New Roman"/>
          <w:sz w:val="24"/>
          <w:szCs w:val="24"/>
          <w:bdr w:val="none" w:sz="0" w:space="0" w:color="auto" w:frame="1"/>
          <w:lang w:eastAsia="it-IT"/>
        </w:rPr>
        <w:t xml:space="preserve">-CSD LPD a contribuire, con i propri dati, alla stesura dei più recenti (2004-2005-2006-2007-2008-2009-2010-2011-2012) report annuali dell’Osservatorio Nazionale sull’uso dei farmaci (OSMED), in collaborazione con l’Agenzia Italiana del Farmaco e l’Istituto Superiore di Sanità. I medici che aderiscono al sistema sono pertanto in grado di descrivere in modo fedele, costante e affidabile la propria attività quotidiana. Tutto questo avviene con una metodologia comune e usando lo stesso sistema informatico, rendendole pertanto pronte per essere aggregate in un unico database accessibile ad interrogazioni della più varia natura. La raccolta dati non è finalizzata esclusivamente alle successive elaborazioni a fini di ricerca in senso stretto, ma soprattutto per rispondere ai tanti quesiti che la verifica e l’audit clinico nella pratica quotidiana oggi richiedono. Tutti i ricercatori di </w:t>
      </w:r>
      <w:proofErr w:type="spellStart"/>
      <w:r w:rsidRPr="00C76291">
        <w:rPr>
          <w:rFonts w:ascii="Times New Roman" w:eastAsia="Times New Roman" w:hAnsi="Times New Roman" w:cs="Times New Roman"/>
          <w:sz w:val="24"/>
          <w:szCs w:val="24"/>
          <w:bdr w:val="none" w:sz="0" w:space="0" w:color="auto" w:frame="1"/>
          <w:lang w:eastAsia="it-IT"/>
        </w:rPr>
        <w:t>Health</w:t>
      </w:r>
      <w:proofErr w:type="spellEnd"/>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Search</w:t>
      </w:r>
      <w:proofErr w:type="spellEnd"/>
      <w:r w:rsidRPr="00C76291">
        <w:rPr>
          <w:rFonts w:ascii="Times New Roman" w:eastAsia="Times New Roman" w:hAnsi="Times New Roman" w:cs="Times New Roman"/>
          <w:sz w:val="24"/>
          <w:szCs w:val="24"/>
          <w:bdr w:val="none" w:sz="0" w:space="0" w:color="auto" w:frame="1"/>
          <w:lang w:eastAsia="it-IT"/>
        </w:rPr>
        <w:t xml:space="preserve">-CSD LPD possono infatti proporre interrogazioni al database sui più diversi argomenti. Al fine di migliorare la sua rappresentatività, </w:t>
      </w:r>
      <w:proofErr w:type="spellStart"/>
      <w:r w:rsidRPr="00C76291">
        <w:rPr>
          <w:rFonts w:ascii="Times New Roman" w:eastAsia="Times New Roman" w:hAnsi="Times New Roman" w:cs="Times New Roman"/>
          <w:sz w:val="24"/>
          <w:szCs w:val="24"/>
          <w:bdr w:val="none" w:sz="0" w:space="0" w:color="auto" w:frame="1"/>
          <w:lang w:eastAsia="it-IT"/>
        </w:rPr>
        <w:t>Health</w:t>
      </w:r>
      <w:proofErr w:type="spellEnd"/>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Search</w:t>
      </w:r>
      <w:proofErr w:type="spellEnd"/>
      <w:r w:rsidRPr="00C76291">
        <w:rPr>
          <w:rFonts w:ascii="Times New Roman" w:eastAsia="Times New Roman" w:hAnsi="Times New Roman" w:cs="Times New Roman"/>
          <w:sz w:val="24"/>
          <w:szCs w:val="24"/>
          <w:bdr w:val="none" w:sz="0" w:space="0" w:color="auto" w:frame="1"/>
          <w:lang w:eastAsia="it-IT"/>
        </w:rPr>
        <w:t>-CSD LPD, si propone di aumentare il network dei ricercatori aderenti al progetto, mediante nuovi corsi, in modo da proseguire il percorso di perfezionamento e di crescita scientifica che ne ha caratterizzato l'evoluzione in questi anni ed ampliando ulteriormente le proprie prospettive future.</w:t>
      </w:r>
    </w:p>
    <w:p w:rsidR="00C76291" w:rsidRPr="007B6996" w:rsidRDefault="00C76291" w:rsidP="00591593">
      <w:pPr>
        <w:shd w:val="clear" w:color="auto" w:fill="FFFFFF"/>
        <w:spacing w:after="0" w:line="240" w:lineRule="auto"/>
        <w:jc w:val="both"/>
        <w:textAlignment w:val="center"/>
        <w:rPr>
          <w:rFonts w:ascii="Times New Roman" w:eastAsia="Times New Roman" w:hAnsi="Times New Roman" w:cs="Times New Roman"/>
          <w:b/>
          <w:bCs/>
          <w:sz w:val="24"/>
          <w:szCs w:val="24"/>
          <w:bdr w:val="none" w:sz="0" w:space="0" w:color="auto" w:frame="1"/>
          <w:lang w:eastAsia="it-IT"/>
        </w:rPr>
      </w:pP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val="en-US" w:eastAsia="it-IT"/>
        </w:rPr>
      </w:pPr>
      <w:proofErr w:type="spellStart"/>
      <w:r w:rsidRPr="00C76291">
        <w:rPr>
          <w:rFonts w:ascii="Times New Roman" w:eastAsia="Times New Roman" w:hAnsi="Times New Roman" w:cs="Times New Roman"/>
          <w:b/>
          <w:bCs/>
          <w:sz w:val="24"/>
          <w:szCs w:val="24"/>
          <w:bdr w:val="none" w:sz="0" w:space="0" w:color="auto" w:frame="1"/>
          <w:lang w:val="en-US" w:eastAsia="it-IT"/>
        </w:rPr>
        <w:t>Vantaggi</w:t>
      </w:r>
      <w:proofErr w:type="spellEnd"/>
      <w:r w:rsidRPr="00C76291">
        <w:rPr>
          <w:rFonts w:ascii="Times New Roman" w:eastAsia="Times New Roman" w:hAnsi="Times New Roman" w:cs="Times New Roman"/>
          <w:b/>
          <w:bCs/>
          <w:sz w:val="24"/>
          <w:szCs w:val="24"/>
          <w:bdr w:val="none" w:sz="0" w:space="0" w:color="auto" w:frame="1"/>
          <w:lang w:val="en-US" w:eastAsia="it-IT"/>
        </w:rPr>
        <w:t> del Network Health Search–CSD LPD</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1)  Dimensione complessiva del database, che comprende oltre un milione e mezzo di pazienti adulti</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2)  Estensione territoriale esaustiva, comprendente cioè tutte le regioni italiane</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lastRenderedPageBreak/>
        <w:t>3)  Rilevazione "in continuo” e quindi immagine dinamica e in tempo reale</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4)  Rilevazione operata dal sanitario (anziché riferita dall’intervistato come nelle indagini ISTAT) e quindi più accurata e completa sugli aspetti clinici, diagnostici e terapeutici</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5)  Possibilità di rilevare sia determinanti di salute (ad es. consumo di alcol, fumo di tabacco) sia patologie per le quali non esistono dati correnti disponibili (lombalgie, osteoporosi, disturbi della sfera affettiva, ecc.)</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bookmarkStart w:id="0" w:name="_GoBack"/>
      <w:bookmarkEnd w:id="0"/>
      <w:r w:rsidRPr="00C76291">
        <w:rPr>
          <w:rFonts w:ascii="Times New Roman" w:eastAsia="Times New Roman" w:hAnsi="Times New Roman" w:cs="Times New Roman"/>
          <w:sz w:val="24"/>
          <w:szCs w:val="24"/>
          <w:bdr w:val="none" w:sz="0" w:space="0" w:color="auto" w:frame="1"/>
          <w:lang w:eastAsia="it-IT"/>
        </w:rPr>
        <w:t>6)  Possibilità di confronti geografici e temporali</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7)  Possibilità di studiare malattie rare o di nuova definizione e di utilizzare in tempi brevi nuovi schemi di classificazione o strumenti diagnostici, alla luce di nuove linee guida o raccomandazioni</w:t>
      </w:r>
    </w:p>
    <w:p w:rsidR="00C76291" w:rsidRPr="00C76291" w:rsidRDefault="00C76291"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8)  Possibilità di instaurare sistemi di sorveglianza e di screening mirato, ad es. per la malattia celiaca, le epatopatie croniche, ecc.</w:t>
      </w:r>
    </w:p>
    <w:p w:rsidR="00591593" w:rsidRPr="00C76291" w:rsidRDefault="00591593" w:rsidP="00591593">
      <w:pPr>
        <w:shd w:val="clear" w:color="auto" w:fill="FFFFFF"/>
        <w:spacing w:after="0" w:line="240" w:lineRule="auto"/>
        <w:jc w:val="both"/>
        <w:textAlignment w:val="center"/>
        <w:rPr>
          <w:rFonts w:ascii="Times New Roman" w:eastAsia="Times New Roman" w:hAnsi="Times New Roman" w:cs="Times New Roman"/>
          <w:sz w:val="24"/>
          <w:szCs w:val="24"/>
          <w:lang w:eastAsia="it-IT"/>
        </w:rPr>
      </w:pPr>
    </w:p>
    <w:p w:rsidR="00C76291" w:rsidRPr="00C76291" w:rsidRDefault="00C76291" w:rsidP="00C76291">
      <w:pPr>
        <w:shd w:val="clear" w:color="auto" w:fill="FFFFFF"/>
        <w:spacing w:after="0" w:line="240" w:lineRule="auto"/>
        <w:jc w:val="both"/>
        <w:textAlignment w:val="center"/>
        <w:rPr>
          <w:rFonts w:ascii="Times New Roman" w:eastAsia="Times New Roman" w:hAnsi="Times New Roman" w:cs="Times New Roman"/>
          <w:b/>
          <w:sz w:val="24"/>
          <w:szCs w:val="24"/>
          <w:lang w:eastAsia="it-IT"/>
        </w:rPr>
      </w:pPr>
      <w:r w:rsidRPr="00C76291">
        <w:rPr>
          <w:rFonts w:ascii="Times New Roman" w:eastAsia="Times New Roman" w:hAnsi="Times New Roman" w:cs="Times New Roman"/>
          <w:b/>
          <w:bCs/>
          <w:iCs/>
          <w:caps/>
          <w:sz w:val="24"/>
          <w:szCs w:val="24"/>
          <w:bdr w:val="none" w:sz="0" w:space="0" w:color="auto" w:frame="1"/>
          <w:lang w:eastAsia="it-IT"/>
        </w:rPr>
        <w:t>MILLE-GPG (GENERAL PRACTICE GOVERNANCE)</w:t>
      </w:r>
    </w:p>
    <w:p w:rsidR="00C76291" w:rsidRPr="00C76291" w:rsidRDefault="00F76075" w:rsidP="00C76291">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bdr w:val="none" w:sz="0" w:space="0" w:color="auto" w:frame="1"/>
          <w:lang w:eastAsia="it-IT"/>
        </w:rPr>
        <w:t>Mettendo</w:t>
      </w:r>
      <w:r w:rsidR="00C76291" w:rsidRPr="00C76291">
        <w:rPr>
          <w:rFonts w:ascii="Times New Roman" w:eastAsia="Times New Roman" w:hAnsi="Times New Roman" w:cs="Times New Roman"/>
          <w:sz w:val="24"/>
          <w:szCs w:val="24"/>
          <w:bdr w:val="none" w:sz="0" w:space="0" w:color="auto" w:frame="1"/>
          <w:lang w:eastAsia="it-IT"/>
        </w:rPr>
        <w:t xml:space="preserve"> a frutto decenni di esperienza nel campo formativo, didattico, della ricerca clinica e dell’organizzazione professionale, la SIMG ha pensato di fornire ai MMG "cruscotti di </w:t>
      </w:r>
      <w:proofErr w:type="spellStart"/>
      <w:r w:rsidR="00C76291" w:rsidRPr="00C76291">
        <w:rPr>
          <w:rFonts w:ascii="Times New Roman" w:eastAsia="Times New Roman" w:hAnsi="Times New Roman" w:cs="Times New Roman"/>
          <w:sz w:val="24"/>
          <w:szCs w:val="24"/>
          <w:bdr w:val="none" w:sz="0" w:space="0" w:color="auto" w:frame="1"/>
          <w:lang w:eastAsia="it-IT"/>
        </w:rPr>
        <w:t>governance</w:t>
      </w:r>
      <w:proofErr w:type="spellEnd"/>
      <w:r w:rsidR="00C76291" w:rsidRPr="00C76291">
        <w:rPr>
          <w:rFonts w:ascii="Times New Roman" w:eastAsia="Times New Roman" w:hAnsi="Times New Roman" w:cs="Times New Roman"/>
          <w:sz w:val="24"/>
          <w:szCs w:val="24"/>
          <w:bdr w:val="none" w:sz="0" w:space="0" w:color="auto" w:frame="1"/>
          <w:lang w:eastAsia="it-IT"/>
        </w:rPr>
        <w:t>” dei processi clinici, che attraverso un sistema "automatico” consentano di valutare (e quindi di controllare) i processi di cura nel loro complesso. Ma anche, facendo perno sull’analisi degli indicatori, di comprendere le criticità di cura e di predisporre correzioni mirate al processo e al miglioramento del risultato. </w:t>
      </w:r>
    </w:p>
    <w:p w:rsidR="00C76291" w:rsidRPr="00C76291" w:rsidRDefault="00C76291" w:rsidP="00C76291">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 xml:space="preserve">Il progetto Mille-GPG (General </w:t>
      </w:r>
      <w:proofErr w:type="spellStart"/>
      <w:r w:rsidRPr="00C76291">
        <w:rPr>
          <w:rFonts w:ascii="Times New Roman" w:eastAsia="Times New Roman" w:hAnsi="Times New Roman" w:cs="Times New Roman"/>
          <w:sz w:val="24"/>
          <w:szCs w:val="24"/>
          <w:bdr w:val="none" w:sz="0" w:space="0" w:color="auto" w:frame="1"/>
          <w:lang w:eastAsia="it-IT"/>
        </w:rPr>
        <w:t>Practice</w:t>
      </w:r>
      <w:proofErr w:type="spellEnd"/>
      <w:r w:rsidRPr="00C76291">
        <w:rPr>
          <w:rFonts w:ascii="Times New Roman" w:eastAsia="Times New Roman" w:hAnsi="Times New Roman" w:cs="Times New Roman"/>
          <w:sz w:val="24"/>
          <w:szCs w:val="24"/>
          <w:bdr w:val="none" w:sz="0" w:space="0" w:color="auto" w:frame="1"/>
          <w:lang w:eastAsia="it-IT"/>
        </w:rPr>
        <w:t xml:space="preserve"> and </w:t>
      </w:r>
      <w:proofErr w:type="spellStart"/>
      <w:r w:rsidRPr="00C76291">
        <w:rPr>
          <w:rFonts w:ascii="Times New Roman" w:eastAsia="Times New Roman" w:hAnsi="Times New Roman" w:cs="Times New Roman"/>
          <w:sz w:val="24"/>
          <w:szCs w:val="24"/>
          <w:bdr w:val="none" w:sz="0" w:space="0" w:color="auto" w:frame="1"/>
          <w:lang w:eastAsia="it-IT"/>
        </w:rPr>
        <w:t>Governance</w:t>
      </w:r>
      <w:proofErr w:type="spellEnd"/>
      <w:r w:rsidRPr="00C76291">
        <w:rPr>
          <w:rFonts w:ascii="Times New Roman" w:eastAsia="Times New Roman" w:hAnsi="Times New Roman" w:cs="Times New Roman"/>
          <w:sz w:val="24"/>
          <w:szCs w:val="24"/>
          <w:bdr w:val="none" w:sz="0" w:space="0" w:color="auto" w:frame="1"/>
          <w:lang w:eastAsia="it-IT"/>
        </w:rPr>
        <w:t xml:space="preserve">) si inserisce nel più ampio progetto di </w:t>
      </w:r>
      <w:proofErr w:type="spellStart"/>
      <w:r w:rsidRPr="00C76291">
        <w:rPr>
          <w:rFonts w:ascii="Times New Roman" w:eastAsia="Times New Roman" w:hAnsi="Times New Roman" w:cs="Times New Roman"/>
          <w:sz w:val="24"/>
          <w:szCs w:val="24"/>
          <w:bdr w:val="none" w:sz="0" w:space="0" w:color="auto" w:frame="1"/>
          <w:lang w:eastAsia="it-IT"/>
        </w:rPr>
        <w:t>governance</w:t>
      </w:r>
      <w:proofErr w:type="spellEnd"/>
      <w:r w:rsidRPr="00C76291">
        <w:rPr>
          <w:rFonts w:ascii="Times New Roman" w:eastAsia="Times New Roman" w:hAnsi="Times New Roman" w:cs="Times New Roman"/>
          <w:sz w:val="24"/>
          <w:szCs w:val="24"/>
          <w:bdr w:val="none" w:sz="0" w:space="0" w:color="auto" w:frame="1"/>
          <w:lang w:eastAsia="it-IT"/>
        </w:rPr>
        <w:t xml:space="preserve"> clinica, utile anche ai fini della programmazione sanitaria poiché capace di mettere in relazione qualità, risultati di salute e costi. È uno  strumento di lavoro che permette di effettuare con rapidità e semplicità analisi approfondite dei dati registrati nella cartella clinica: per monitorare i risultati di cura in termini di salute, costi e sicurezza. In questo modo il medico di famiglia può: risparmiare tempo; lavorare meglio; verificare il proprio lavoro; migliorare</w:t>
      </w:r>
      <w:r w:rsidR="00F76075">
        <w:rPr>
          <w:rFonts w:ascii="Times New Roman" w:eastAsia="Times New Roman" w:hAnsi="Times New Roman" w:cs="Times New Roman"/>
          <w:sz w:val="24"/>
          <w:szCs w:val="24"/>
          <w:bdr w:val="none" w:sz="0" w:space="0" w:color="auto" w:frame="1"/>
          <w:lang w:eastAsia="it-IT"/>
        </w:rPr>
        <w:t xml:space="preserve"> la qualità della professione; “</w:t>
      </w:r>
      <w:r w:rsidRPr="00C76291">
        <w:rPr>
          <w:rFonts w:ascii="Times New Roman" w:eastAsia="Times New Roman" w:hAnsi="Times New Roman" w:cs="Times New Roman"/>
          <w:sz w:val="24"/>
          <w:szCs w:val="24"/>
          <w:bdr w:val="none" w:sz="0" w:space="0" w:color="auto" w:frame="1"/>
          <w:lang w:eastAsia="it-IT"/>
        </w:rPr>
        <w:t xml:space="preserve">applicare” i principi del </w:t>
      </w:r>
      <w:proofErr w:type="spellStart"/>
      <w:r w:rsidRPr="00C76291">
        <w:rPr>
          <w:rFonts w:ascii="Times New Roman" w:eastAsia="Times New Roman" w:hAnsi="Times New Roman" w:cs="Times New Roman"/>
          <w:sz w:val="24"/>
          <w:szCs w:val="24"/>
          <w:bdr w:val="none" w:sz="0" w:space="0" w:color="auto" w:frame="1"/>
          <w:lang w:eastAsia="it-IT"/>
        </w:rPr>
        <w:t>risk</w:t>
      </w:r>
      <w:proofErr w:type="spellEnd"/>
      <w:r w:rsidRPr="00C76291">
        <w:rPr>
          <w:rFonts w:ascii="Times New Roman" w:eastAsia="Times New Roman" w:hAnsi="Times New Roman" w:cs="Times New Roman"/>
          <w:sz w:val="24"/>
          <w:szCs w:val="24"/>
          <w:bdr w:val="none" w:sz="0" w:space="0" w:color="auto" w:frame="1"/>
          <w:lang w:eastAsia="it-IT"/>
        </w:rPr>
        <w:t xml:space="preserve"> management; tutelare la professione. Il Mille-</w:t>
      </w:r>
      <w:proofErr w:type="spellStart"/>
      <w:r w:rsidRPr="00C76291">
        <w:rPr>
          <w:rFonts w:ascii="Times New Roman" w:eastAsia="Times New Roman" w:hAnsi="Times New Roman" w:cs="Times New Roman"/>
          <w:sz w:val="24"/>
          <w:szCs w:val="24"/>
          <w:bdr w:val="none" w:sz="0" w:space="0" w:color="auto" w:frame="1"/>
          <w:lang w:eastAsia="it-IT"/>
        </w:rPr>
        <w:t>GpG</w:t>
      </w:r>
      <w:proofErr w:type="spellEnd"/>
      <w:r w:rsidRPr="00C76291">
        <w:rPr>
          <w:rFonts w:ascii="Times New Roman" w:eastAsia="Times New Roman" w:hAnsi="Times New Roman" w:cs="Times New Roman"/>
          <w:sz w:val="24"/>
          <w:szCs w:val="24"/>
          <w:bdr w:val="none" w:sz="0" w:space="0" w:color="auto" w:frame="1"/>
          <w:lang w:eastAsia="it-IT"/>
        </w:rPr>
        <w:t xml:space="preserve"> è un applicativo informatico basato su un database relazionale di nuova generazione sviluppato da Millennium in collaborazione con un team di lavoro della Società Scientifica coordinato da </w:t>
      </w:r>
      <w:proofErr w:type="spellStart"/>
      <w:r w:rsidRPr="00C76291">
        <w:rPr>
          <w:rFonts w:ascii="Times New Roman" w:eastAsia="Times New Roman" w:hAnsi="Times New Roman" w:cs="Times New Roman"/>
          <w:sz w:val="24"/>
          <w:szCs w:val="24"/>
          <w:bdr w:val="none" w:sz="0" w:space="0" w:color="auto" w:frame="1"/>
          <w:lang w:eastAsia="it-IT"/>
        </w:rPr>
        <w:t>Genomedics</w:t>
      </w:r>
      <w:proofErr w:type="spellEnd"/>
      <w:r w:rsidRPr="00C76291">
        <w:rPr>
          <w:rFonts w:ascii="Times New Roman" w:eastAsia="Times New Roman" w:hAnsi="Times New Roman" w:cs="Times New Roman"/>
          <w:sz w:val="24"/>
          <w:szCs w:val="24"/>
          <w:bdr w:val="none" w:sz="0" w:space="0" w:color="auto" w:frame="1"/>
          <w:lang w:eastAsia="it-IT"/>
        </w:rPr>
        <w:t>. Il software mette a disposizione del MMG una serie di "cruscotti” e di indicatori destinati a supportarlo nella verifica della sua attività rispetto alle linee guida e agli standard più diffusi anche in coerenza con le nuove necessità derivanti dal contratto nazionale e\o dagli accordi regionali\ASL.</w:t>
      </w:r>
    </w:p>
    <w:p w:rsidR="00C76291" w:rsidRPr="00C76291" w:rsidRDefault="00C76291" w:rsidP="00C76291">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 </w:t>
      </w:r>
    </w:p>
    <w:p w:rsidR="00C76291" w:rsidRPr="00C76291" w:rsidRDefault="00C76291" w:rsidP="00C76291">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In particolare il Mille-GPG permette di:</w:t>
      </w:r>
    </w:p>
    <w:p w:rsidR="00C76291" w:rsidRPr="00C76291" w:rsidRDefault="00C76291" w:rsidP="00C76291">
      <w:pPr>
        <w:numPr>
          <w:ilvl w:val="0"/>
          <w:numId w:val="1"/>
        </w:numPr>
        <w:shd w:val="clear" w:color="auto" w:fill="FFFFFF"/>
        <w:spacing w:after="0" w:line="240" w:lineRule="auto"/>
        <w:ind w:left="225"/>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monitorare e valutare (</w:t>
      </w:r>
      <w:proofErr w:type="spellStart"/>
      <w:r w:rsidRPr="00C76291">
        <w:rPr>
          <w:rFonts w:ascii="Times New Roman" w:eastAsia="Times New Roman" w:hAnsi="Times New Roman" w:cs="Times New Roman"/>
          <w:sz w:val="24"/>
          <w:szCs w:val="24"/>
          <w:bdr w:val="none" w:sz="0" w:space="0" w:color="auto" w:frame="1"/>
          <w:lang w:eastAsia="it-IT"/>
        </w:rPr>
        <w:t>Clinical</w:t>
      </w:r>
      <w:proofErr w:type="spellEnd"/>
      <w:r w:rsidRPr="00C76291">
        <w:rPr>
          <w:rFonts w:ascii="Times New Roman" w:eastAsia="Times New Roman" w:hAnsi="Times New Roman" w:cs="Times New Roman"/>
          <w:sz w:val="24"/>
          <w:szCs w:val="24"/>
          <w:bdr w:val="none" w:sz="0" w:space="0" w:color="auto" w:frame="1"/>
          <w:lang w:eastAsia="it-IT"/>
        </w:rPr>
        <w:t xml:space="preserve"> audit) l’efficacia e l’appropriatezza degli interventi riguardo ai principali problemi clinico-assistenziali con un set d’indicatori di processo ed esito e di confrontarli con i dati disponibili a livello nazionale (in </w:t>
      </w:r>
      <w:proofErr w:type="spellStart"/>
      <w:r w:rsidRPr="00C76291">
        <w:rPr>
          <w:rFonts w:ascii="Times New Roman" w:eastAsia="Times New Roman" w:hAnsi="Times New Roman" w:cs="Times New Roman"/>
          <w:sz w:val="24"/>
          <w:szCs w:val="24"/>
          <w:bdr w:val="none" w:sz="0" w:space="0" w:color="auto" w:frame="1"/>
          <w:lang w:eastAsia="it-IT"/>
        </w:rPr>
        <w:t>Health</w:t>
      </w:r>
      <w:proofErr w:type="spellEnd"/>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Search</w:t>
      </w:r>
      <w:proofErr w:type="spellEnd"/>
      <w:r w:rsidRPr="00C76291">
        <w:rPr>
          <w:rFonts w:ascii="Times New Roman" w:eastAsia="Times New Roman" w:hAnsi="Times New Roman" w:cs="Times New Roman"/>
          <w:sz w:val="24"/>
          <w:szCs w:val="24"/>
          <w:bdr w:val="none" w:sz="0" w:space="0" w:color="auto" w:frame="1"/>
          <w:lang w:eastAsia="it-IT"/>
        </w:rPr>
        <w:t>)</w:t>
      </w:r>
    </w:p>
    <w:p w:rsidR="00C76291" w:rsidRPr="00C76291" w:rsidRDefault="00C76291" w:rsidP="00C76291">
      <w:pPr>
        <w:numPr>
          <w:ilvl w:val="0"/>
          <w:numId w:val="1"/>
        </w:numPr>
        <w:shd w:val="clear" w:color="auto" w:fill="FFFFFF"/>
        <w:spacing w:after="0" w:line="240" w:lineRule="auto"/>
        <w:ind w:left="225"/>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estrarre ed inviare automaticamente a</w:t>
      </w:r>
      <w:r w:rsidR="00E52A10">
        <w:rPr>
          <w:rFonts w:ascii="Times New Roman" w:eastAsia="Times New Roman" w:hAnsi="Times New Roman" w:cs="Times New Roman"/>
          <w:sz w:val="24"/>
          <w:szCs w:val="24"/>
          <w:bdr w:val="none" w:sz="0" w:space="0" w:color="auto" w:frame="1"/>
          <w:lang w:eastAsia="it-IT"/>
        </w:rPr>
        <w:t>ll’ASL report dati (cosiddetto “</w:t>
      </w:r>
      <w:r w:rsidRPr="00C76291">
        <w:rPr>
          <w:rFonts w:ascii="Times New Roman" w:eastAsia="Times New Roman" w:hAnsi="Times New Roman" w:cs="Times New Roman"/>
          <w:sz w:val="24"/>
          <w:szCs w:val="24"/>
          <w:bdr w:val="none" w:sz="0" w:space="0" w:color="auto" w:frame="1"/>
          <w:lang w:eastAsia="it-IT"/>
        </w:rPr>
        <w:t>debito informativo”)</w:t>
      </w:r>
    </w:p>
    <w:p w:rsidR="00C76291" w:rsidRPr="00C76291" w:rsidRDefault="00C76291" w:rsidP="00C76291">
      <w:pPr>
        <w:numPr>
          <w:ilvl w:val="0"/>
          <w:numId w:val="1"/>
        </w:numPr>
        <w:shd w:val="clear" w:color="auto" w:fill="FFFFFF"/>
        <w:spacing w:after="0" w:line="240" w:lineRule="auto"/>
        <w:ind w:left="225"/>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registrare ed estrarre i dati in conformità a precisi obiettivi di cura   </w:t>
      </w:r>
    </w:p>
    <w:p w:rsidR="00C76291" w:rsidRPr="00C76291" w:rsidRDefault="00C76291" w:rsidP="00C76291">
      <w:pPr>
        <w:numPr>
          <w:ilvl w:val="0"/>
          <w:numId w:val="1"/>
        </w:numPr>
        <w:shd w:val="clear" w:color="auto" w:fill="FFFFFF"/>
        <w:spacing w:after="0" w:line="240" w:lineRule="auto"/>
        <w:ind w:left="225"/>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partecipare a progetti di ricerca clinica (inclusa la farmacovigilanza) sia nazionali sia locali, senza interferenze nell’attività clinica quotidiana</w:t>
      </w:r>
    </w:p>
    <w:p w:rsidR="00C76291" w:rsidRPr="00C76291" w:rsidRDefault="00C76291" w:rsidP="00C76291">
      <w:pPr>
        <w:numPr>
          <w:ilvl w:val="0"/>
          <w:numId w:val="1"/>
        </w:numPr>
        <w:shd w:val="clear" w:color="auto" w:fill="FFFFFF"/>
        <w:spacing w:after="0" w:line="240" w:lineRule="auto"/>
        <w:ind w:left="225"/>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identificare le situazioni che generano rischi suggerendo possibili e praticabili soluzioni, al fine di aumentare la sicurezza dei pazienti (</w:t>
      </w:r>
      <w:proofErr w:type="spellStart"/>
      <w:r w:rsidRPr="00C76291">
        <w:rPr>
          <w:rFonts w:ascii="Times New Roman" w:eastAsia="Times New Roman" w:hAnsi="Times New Roman" w:cs="Times New Roman"/>
          <w:sz w:val="24"/>
          <w:szCs w:val="24"/>
          <w:bdr w:val="none" w:sz="0" w:space="0" w:color="auto" w:frame="1"/>
          <w:lang w:eastAsia="it-IT"/>
        </w:rPr>
        <w:t>Risk</w:t>
      </w:r>
      <w:proofErr w:type="spellEnd"/>
      <w:r w:rsidRPr="00C76291">
        <w:rPr>
          <w:rFonts w:ascii="Times New Roman" w:eastAsia="Times New Roman" w:hAnsi="Times New Roman" w:cs="Times New Roman"/>
          <w:sz w:val="24"/>
          <w:szCs w:val="24"/>
          <w:bdr w:val="none" w:sz="0" w:space="0" w:color="auto" w:frame="1"/>
          <w:lang w:eastAsia="it-IT"/>
        </w:rPr>
        <w:t xml:space="preserve"> management)</w:t>
      </w:r>
    </w:p>
    <w:p w:rsidR="00C76291" w:rsidRPr="00C76291" w:rsidRDefault="00C76291" w:rsidP="00C76291">
      <w:pPr>
        <w:numPr>
          <w:ilvl w:val="0"/>
          <w:numId w:val="1"/>
        </w:numPr>
        <w:shd w:val="clear" w:color="auto" w:fill="FFFFFF"/>
        <w:spacing w:after="0" w:line="240" w:lineRule="auto"/>
        <w:ind w:left="225"/>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 xml:space="preserve">monitorare i costi (per patologia e per </w:t>
      </w:r>
      <w:proofErr w:type="spellStart"/>
      <w:r w:rsidRPr="00C76291">
        <w:rPr>
          <w:rFonts w:ascii="Times New Roman" w:eastAsia="Times New Roman" w:hAnsi="Times New Roman" w:cs="Times New Roman"/>
          <w:sz w:val="24"/>
          <w:szCs w:val="24"/>
          <w:bdr w:val="none" w:sz="0" w:space="0" w:color="auto" w:frame="1"/>
          <w:lang w:eastAsia="it-IT"/>
        </w:rPr>
        <w:t>isocomplessità</w:t>
      </w:r>
      <w:proofErr w:type="spellEnd"/>
      <w:r w:rsidRPr="00C76291">
        <w:rPr>
          <w:rFonts w:ascii="Times New Roman" w:eastAsia="Times New Roman" w:hAnsi="Times New Roman" w:cs="Times New Roman"/>
          <w:sz w:val="24"/>
          <w:szCs w:val="24"/>
          <w:bdr w:val="none" w:sz="0" w:space="0" w:color="auto" w:frame="1"/>
          <w:lang w:eastAsia="it-IT"/>
        </w:rPr>
        <w:t xml:space="preserve"> di cura)</w:t>
      </w:r>
    </w:p>
    <w:p w:rsidR="00C76291" w:rsidRPr="00C76291" w:rsidRDefault="00C76291" w:rsidP="00C76291">
      <w:pPr>
        <w:numPr>
          <w:ilvl w:val="0"/>
          <w:numId w:val="1"/>
        </w:numPr>
        <w:shd w:val="clear" w:color="auto" w:fill="FFFFFF"/>
        <w:spacing w:after="0" w:line="240" w:lineRule="auto"/>
        <w:ind w:left="225"/>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 xml:space="preserve">interagire con la cartella clinica </w:t>
      </w:r>
      <w:proofErr w:type="spellStart"/>
      <w:r w:rsidRPr="00C76291">
        <w:rPr>
          <w:rFonts w:ascii="Times New Roman" w:eastAsia="Times New Roman" w:hAnsi="Times New Roman" w:cs="Times New Roman"/>
          <w:sz w:val="24"/>
          <w:szCs w:val="24"/>
          <w:bdr w:val="none" w:sz="0" w:space="0" w:color="auto" w:frame="1"/>
          <w:lang w:eastAsia="it-IT"/>
        </w:rPr>
        <w:t>Millewin</w:t>
      </w:r>
      <w:proofErr w:type="spellEnd"/>
      <w:r w:rsidRPr="00C76291">
        <w:rPr>
          <w:rFonts w:ascii="Times New Roman" w:eastAsia="Times New Roman" w:hAnsi="Times New Roman" w:cs="Times New Roman"/>
          <w:sz w:val="24"/>
          <w:szCs w:val="24"/>
          <w:bdr w:val="none" w:sz="0" w:space="0" w:color="auto" w:frame="1"/>
          <w:lang w:eastAsia="it-IT"/>
        </w:rPr>
        <w:t xml:space="preserve"> al fine di intervenire sull’appropriatezza e sicurezza del singolo paziente o di gruppi di pazienti</w:t>
      </w:r>
    </w:p>
    <w:p w:rsidR="00C76291" w:rsidRPr="00C76291" w:rsidRDefault="00C76291" w:rsidP="00C76291">
      <w:pPr>
        <w:numPr>
          <w:ilvl w:val="0"/>
          <w:numId w:val="1"/>
        </w:numPr>
        <w:shd w:val="clear" w:color="auto" w:fill="FFFFFF"/>
        <w:spacing w:after="0" w:line="240" w:lineRule="auto"/>
        <w:ind w:left="225"/>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lastRenderedPageBreak/>
        <w:t>aggiornarsi in base a specifici bisogni formativi emersi durante l’attività di audit</w:t>
      </w:r>
    </w:p>
    <w:p w:rsidR="00C76291" w:rsidRPr="00C76291" w:rsidRDefault="00C76291" w:rsidP="00C76291">
      <w:pPr>
        <w:numPr>
          <w:ilvl w:val="0"/>
          <w:numId w:val="1"/>
        </w:numPr>
        <w:shd w:val="clear" w:color="auto" w:fill="FFFFFF"/>
        <w:spacing w:after="0" w:line="240" w:lineRule="auto"/>
        <w:ind w:left="225"/>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 xml:space="preserve">simulare risultati clinici e\o </w:t>
      </w:r>
      <w:proofErr w:type="spellStart"/>
      <w:r w:rsidRPr="00C76291">
        <w:rPr>
          <w:rFonts w:ascii="Times New Roman" w:eastAsia="Times New Roman" w:hAnsi="Times New Roman" w:cs="Times New Roman"/>
          <w:sz w:val="24"/>
          <w:szCs w:val="24"/>
          <w:bdr w:val="none" w:sz="0" w:space="0" w:color="auto" w:frame="1"/>
          <w:lang w:eastAsia="it-IT"/>
        </w:rPr>
        <w:t>farmacoeconomici</w:t>
      </w:r>
      <w:proofErr w:type="spellEnd"/>
      <w:r w:rsidRPr="00C76291">
        <w:rPr>
          <w:rFonts w:ascii="Times New Roman" w:eastAsia="Times New Roman" w:hAnsi="Times New Roman" w:cs="Times New Roman"/>
          <w:sz w:val="24"/>
          <w:szCs w:val="24"/>
          <w:bdr w:val="none" w:sz="0" w:space="0" w:color="auto" w:frame="1"/>
          <w:lang w:eastAsia="it-IT"/>
        </w:rPr>
        <w:t xml:space="preserve"> in funzione di modifiche (migliorative o peggiorative) comportamentali\organizzative</w:t>
      </w:r>
    </w:p>
    <w:p w:rsidR="00C76291" w:rsidRPr="00C76291" w:rsidRDefault="00C76291" w:rsidP="00C76291">
      <w:pPr>
        <w:numPr>
          <w:ilvl w:val="0"/>
          <w:numId w:val="1"/>
        </w:numPr>
        <w:shd w:val="clear" w:color="auto" w:fill="FFFFFF"/>
        <w:spacing w:after="0" w:line="240" w:lineRule="auto"/>
        <w:ind w:left="225"/>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sz w:val="24"/>
          <w:szCs w:val="24"/>
          <w:bdr w:val="none" w:sz="0" w:space="0" w:color="auto" w:frame="1"/>
          <w:lang w:eastAsia="it-IT"/>
        </w:rPr>
        <w:t xml:space="preserve">calcolare i carichi di lavoro derivanti dall’assistenza ai malati cronici (stratificati per </w:t>
      </w:r>
      <w:proofErr w:type="spellStart"/>
      <w:r w:rsidRPr="00C76291">
        <w:rPr>
          <w:rFonts w:ascii="Times New Roman" w:eastAsia="Times New Roman" w:hAnsi="Times New Roman" w:cs="Times New Roman"/>
          <w:sz w:val="24"/>
          <w:szCs w:val="24"/>
          <w:bdr w:val="none" w:sz="0" w:space="0" w:color="auto" w:frame="1"/>
          <w:lang w:eastAsia="it-IT"/>
        </w:rPr>
        <w:t>isocomplessità</w:t>
      </w:r>
      <w:proofErr w:type="spellEnd"/>
      <w:r w:rsidRPr="00C76291">
        <w:rPr>
          <w:rFonts w:ascii="Times New Roman" w:eastAsia="Times New Roman" w:hAnsi="Times New Roman" w:cs="Times New Roman"/>
          <w:sz w:val="24"/>
          <w:szCs w:val="24"/>
          <w:bdr w:val="none" w:sz="0" w:space="0" w:color="auto" w:frame="1"/>
          <w:lang w:eastAsia="it-IT"/>
        </w:rPr>
        <w:t xml:space="preserve"> clinica) utile ai fini programmatori (impegno del personale di studi</w:t>
      </w:r>
      <w:r w:rsidR="00C631D2">
        <w:rPr>
          <w:rFonts w:ascii="Times New Roman" w:eastAsia="Times New Roman" w:hAnsi="Times New Roman" w:cs="Times New Roman"/>
          <w:sz w:val="24"/>
          <w:szCs w:val="24"/>
          <w:bdr w:val="none" w:sz="0" w:space="0" w:color="auto" w:frame="1"/>
          <w:lang w:eastAsia="it-IT"/>
        </w:rPr>
        <w:t>o, ore dedicate, strumentazione</w:t>
      </w:r>
      <w:r w:rsidRPr="00C76291">
        <w:rPr>
          <w:rFonts w:ascii="Times New Roman" w:eastAsia="Times New Roman" w:hAnsi="Times New Roman" w:cs="Times New Roman"/>
          <w:sz w:val="24"/>
          <w:szCs w:val="24"/>
          <w:bdr w:val="none" w:sz="0" w:space="0" w:color="auto" w:frame="1"/>
          <w:lang w:eastAsia="it-IT"/>
        </w:rPr>
        <w:t xml:space="preserve">, </w:t>
      </w:r>
      <w:proofErr w:type="spellStart"/>
      <w:r w:rsidRPr="00C76291">
        <w:rPr>
          <w:rFonts w:ascii="Times New Roman" w:eastAsia="Times New Roman" w:hAnsi="Times New Roman" w:cs="Times New Roman"/>
          <w:sz w:val="24"/>
          <w:szCs w:val="24"/>
          <w:bdr w:val="none" w:sz="0" w:space="0" w:color="auto" w:frame="1"/>
          <w:lang w:eastAsia="it-IT"/>
        </w:rPr>
        <w:t>ecc</w:t>
      </w:r>
      <w:proofErr w:type="spellEnd"/>
      <w:r w:rsidRPr="00C76291">
        <w:rPr>
          <w:rFonts w:ascii="Times New Roman" w:eastAsia="Times New Roman" w:hAnsi="Times New Roman" w:cs="Times New Roman"/>
          <w:sz w:val="24"/>
          <w:szCs w:val="24"/>
          <w:bdr w:val="none" w:sz="0" w:space="0" w:color="auto" w:frame="1"/>
          <w:lang w:eastAsia="it-IT"/>
        </w:rPr>
        <w:t>).</w:t>
      </w:r>
    </w:p>
    <w:p w:rsidR="00C76291" w:rsidRPr="00C76291" w:rsidRDefault="00C76291" w:rsidP="00C76291">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sidRPr="00C76291">
        <w:rPr>
          <w:rFonts w:ascii="Times New Roman" w:eastAsia="Times New Roman" w:hAnsi="Times New Roman" w:cs="Times New Roman"/>
          <w:b/>
          <w:bCs/>
          <w:i/>
          <w:iCs/>
          <w:sz w:val="24"/>
          <w:szCs w:val="24"/>
          <w:bdr w:val="none" w:sz="0" w:space="0" w:color="auto" w:frame="1"/>
          <w:lang w:eastAsia="it-IT"/>
        </w:rPr>
        <w:t> </w:t>
      </w:r>
    </w:p>
    <w:p w:rsidR="00C76291" w:rsidRDefault="00C76291" w:rsidP="00C76291">
      <w:pPr>
        <w:shd w:val="clear" w:color="auto" w:fill="FFFFFF"/>
        <w:spacing w:after="0" w:line="240" w:lineRule="auto"/>
        <w:jc w:val="both"/>
        <w:textAlignment w:val="center"/>
        <w:rPr>
          <w:rFonts w:ascii="Times New Roman" w:eastAsia="Times New Roman" w:hAnsi="Times New Roman" w:cs="Times New Roman"/>
          <w:b/>
          <w:bCs/>
          <w:sz w:val="24"/>
          <w:szCs w:val="24"/>
          <w:bdr w:val="none" w:sz="0" w:space="0" w:color="auto" w:frame="1"/>
          <w:lang w:eastAsia="it-IT"/>
        </w:rPr>
      </w:pPr>
      <w:r>
        <w:rPr>
          <w:rFonts w:ascii="Times New Roman" w:eastAsia="Times New Roman" w:hAnsi="Times New Roman" w:cs="Times New Roman"/>
          <w:b/>
          <w:bCs/>
          <w:sz w:val="24"/>
          <w:szCs w:val="24"/>
          <w:bdr w:val="none" w:sz="0" w:space="0" w:color="auto" w:frame="1"/>
          <w:lang w:eastAsia="it-IT"/>
        </w:rPr>
        <w:t>IL PROGETTO SISSI</w:t>
      </w:r>
    </w:p>
    <w:p w:rsidR="00C76291" w:rsidRPr="00C76291" w:rsidRDefault="00E52A10" w:rsidP="00C76291">
      <w:pPr>
        <w:shd w:val="clear" w:color="auto" w:fill="FFFFFF"/>
        <w:spacing w:after="0" w:line="240" w:lineRule="auto"/>
        <w:jc w:val="both"/>
        <w:textAlignment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bdr w:val="none" w:sz="0" w:space="0" w:color="auto" w:frame="1"/>
          <w:lang w:eastAsia="it-IT"/>
        </w:rPr>
        <w:t>SISSI (“</w:t>
      </w:r>
      <w:r w:rsidR="00C76291" w:rsidRPr="00C76291">
        <w:rPr>
          <w:rFonts w:ascii="Times New Roman" w:eastAsia="Times New Roman" w:hAnsi="Times New Roman" w:cs="Times New Roman"/>
          <w:sz w:val="24"/>
          <w:szCs w:val="24"/>
          <w:bdr w:val="none" w:sz="0" w:space="0" w:color="auto" w:frame="1"/>
          <w:lang w:eastAsia="it-IT"/>
        </w:rPr>
        <w:t>Simulazione sulla spesa sanitaria italiana”) è uno strumento di valutazione economica per comparare i costi delle cure erogate con i risultati. E per dimostrare che ogni unità di costo, farmaco prescritto, ricovero eseguito, richiesta di accertamento diagnostico è finalizzata a un risultato. Nel database sono raccolti 10 anni di cartelle cliniche relative a un milione di pazienti, dati poi incrociati con quelli economici per valutare impatto ed efficacia delle cure e delle visite prescritte. Il sistema è in grado non  solo di individuare un’incongruenza, ma anche di trovarne la causa. Ad esempio si è evidenziato che la Regione Lazio spendeva per esami e cure per il controllo del colesterolo il doppio della Toscana. Analizzando i dettagli si è scoperto che ciò accadeva non per un maggior numero di prescrizioni, ma perché la convenzione che il Lazio aveva siglato con i laboratori prevedeva una tariffa doppia per gli esami rispetto alla Toscana. Lavorando sui dati, inoltre è possibile permettere ai medici di famiglia di avere un ruolo attivo nella prevenzione. Se i dati infatti indicano che i risultati delle cure non sono in linea con gli standard o che i pazienti non si presentano alle visite di controllo, i MMG possono intervenire direttamente invitando il paziente a farsi visitare o a seguire più attentamente le prescrizioni.</w:t>
      </w:r>
    </w:p>
    <w:p w:rsidR="00C062F0" w:rsidRPr="00C76291" w:rsidRDefault="00C062F0" w:rsidP="00C76291">
      <w:pPr>
        <w:jc w:val="both"/>
        <w:rPr>
          <w:rFonts w:ascii="Times New Roman" w:hAnsi="Times New Roman" w:cs="Times New Roman"/>
          <w:sz w:val="24"/>
          <w:szCs w:val="24"/>
        </w:rPr>
      </w:pPr>
    </w:p>
    <w:sectPr w:rsidR="00C062F0" w:rsidRPr="00C76291" w:rsidSect="007B1A11">
      <w:headerReference w:type="default" r:id="rId8"/>
      <w:headerReference w:type="first" r:id="rId9"/>
      <w:pgSz w:w="11906" w:h="16838"/>
      <w:pgMar w:top="2268"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821" w:rsidRDefault="00952821" w:rsidP="007B6996">
      <w:pPr>
        <w:spacing w:after="0" w:line="240" w:lineRule="auto"/>
      </w:pPr>
      <w:r>
        <w:separator/>
      </w:r>
    </w:p>
  </w:endnote>
  <w:endnote w:type="continuationSeparator" w:id="0">
    <w:p w:rsidR="00952821" w:rsidRDefault="00952821" w:rsidP="007B6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821" w:rsidRDefault="00952821" w:rsidP="007B6996">
      <w:pPr>
        <w:spacing w:after="0" w:line="240" w:lineRule="auto"/>
      </w:pPr>
      <w:r>
        <w:separator/>
      </w:r>
    </w:p>
  </w:footnote>
  <w:footnote w:type="continuationSeparator" w:id="0">
    <w:p w:rsidR="00952821" w:rsidRDefault="00952821" w:rsidP="007B69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996" w:rsidRDefault="007B6996" w:rsidP="007B6996">
    <w:pPr>
      <w:pStyle w:val="Intestazion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A11" w:rsidRDefault="007B1A11" w:rsidP="007B1A11">
    <w:pPr>
      <w:pStyle w:val="Intestazione"/>
      <w:jc w:val="center"/>
    </w:pPr>
    <w:r>
      <w:rPr>
        <w:noProof/>
        <w:lang w:eastAsia="it-IT"/>
      </w:rPr>
      <w:drawing>
        <wp:inline distT="0" distB="0" distL="0" distR="0" wp14:anchorId="34388775" wp14:editId="77B15DE8">
          <wp:extent cx="2531745" cy="960120"/>
          <wp:effectExtent l="0" t="0" r="1905" b="0"/>
          <wp:docPr id="1" name="Immagine 1" descr="logo simg comple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img complet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174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F1918"/>
    <w:multiLevelType w:val="multilevel"/>
    <w:tmpl w:val="CCF6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BCE"/>
    <w:rsid w:val="002C4BCE"/>
    <w:rsid w:val="004E1BA2"/>
    <w:rsid w:val="00591593"/>
    <w:rsid w:val="007B1A11"/>
    <w:rsid w:val="007B6996"/>
    <w:rsid w:val="00952821"/>
    <w:rsid w:val="00C062F0"/>
    <w:rsid w:val="00C631D2"/>
    <w:rsid w:val="00C76291"/>
    <w:rsid w:val="00E52A10"/>
    <w:rsid w:val="00F760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B699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6996"/>
  </w:style>
  <w:style w:type="paragraph" w:styleId="Pidipagina">
    <w:name w:val="footer"/>
    <w:basedOn w:val="Normale"/>
    <w:link w:val="PidipaginaCarattere"/>
    <w:uiPriority w:val="99"/>
    <w:unhideWhenUsed/>
    <w:rsid w:val="007B699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6996"/>
  </w:style>
  <w:style w:type="paragraph" w:styleId="Testofumetto">
    <w:name w:val="Balloon Text"/>
    <w:basedOn w:val="Normale"/>
    <w:link w:val="TestofumettoCarattere"/>
    <w:uiPriority w:val="99"/>
    <w:semiHidden/>
    <w:unhideWhenUsed/>
    <w:rsid w:val="007B699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B69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B699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6996"/>
  </w:style>
  <w:style w:type="paragraph" w:styleId="Pidipagina">
    <w:name w:val="footer"/>
    <w:basedOn w:val="Normale"/>
    <w:link w:val="PidipaginaCarattere"/>
    <w:uiPriority w:val="99"/>
    <w:unhideWhenUsed/>
    <w:rsid w:val="007B699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6996"/>
  </w:style>
  <w:style w:type="paragraph" w:styleId="Testofumetto">
    <w:name w:val="Balloon Text"/>
    <w:basedOn w:val="Normale"/>
    <w:link w:val="TestofumettoCarattere"/>
    <w:uiPriority w:val="99"/>
    <w:semiHidden/>
    <w:unhideWhenUsed/>
    <w:rsid w:val="007B699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B69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674997">
      <w:bodyDiv w:val="1"/>
      <w:marLeft w:val="0"/>
      <w:marRight w:val="0"/>
      <w:marTop w:val="0"/>
      <w:marBottom w:val="0"/>
      <w:divBdr>
        <w:top w:val="none" w:sz="0" w:space="0" w:color="auto"/>
        <w:left w:val="none" w:sz="0" w:space="0" w:color="auto"/>
        <w:bottom w:val="none" w:sz="0" w:space="0" w:color="auto"/>
        <w:right w:val="none" w:sz="0" w:space="0" w:color="auto"/>
      </w:divBdr>
      <w:divsChild>
        <w:div w:id="1890022595">
          <w:marLeft w:val="0"/>
          <w:marRight w:val="0"/>
          <w:marTop w:val="0"/>
          <w:marBottom w:val="0"/>
          <w:divBdr>
            <w:top w:val="single" w:sz="8" w:space="1" w:color="auto"/>
            <w:left w:val="single" w:sz="8" w:space="4" w:color="auto"/>
            <w:bottom w:val="single" w:sz="8" w:space="1" w:color="auto"/>
            <w:right w:val="single" w:sz="8" w:space="4"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1359</Words>
  <Characters>7749</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dc:creator>
  <cp:keywords/>
  <dc:description/>
  <cp:lastModifiedBy>utente</cp:lastModifiedBy>
  <cp:revision>6</cp:revision>
  <dcterms:created xsi:type="dcterms:W3CDTF">2015-11-19T14:54:00Z</dcterms:created>
  <dcterms:modified xsi:type="dcterms:W3CDTF">2015-11-26T08:07:00Z</dcterms:modified>
</cp:coreProperties>
</file>